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eastAsiaTheme="majorEastAsia"/>
          <w:caps/>
          <w:kern w:val="2"/>
          <w:sz w:val="21"/>
        </w:rPr>
        <w:id w:val="536078793"/>
      </w:sdtPr>
      <w:sdtEndPr>
        <w:rPr>
          <w:rFonts w:ascii="Times New Roman" w:hAnsi="Times New Roman" w:cs="Times New Roman" w:eastAsiaTheme="minorEastAsia"/>
          <w:caps w:val="0"/>
          <w:kern w:val="2"/>
          <w:sz w:val="21"/>
        </w:rPr>
      </w:sdtEndPr>
      <w:sdtContent>
        <w:tbl>
          <w:tblPr>
            <w:tblStyle w:val="6"/>
            <w:tblW w:w="8522" w:type="dxa"/>
            <w:jc w:val="center"/>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2880" w:hRule="atLeast"/>
              <w:jc w:val="center"/>
            </w:trPr>
            <w:tc>
              <w:tcPr>
                <w:tcW w:w="8522" w:type="dxa"/>
              </w:tcPr>
              <w:p>
                <w:pPr>
                  <w:pStyle w:val="8"/>
                  <w:jc w:val="center"/>
                  <w:rPr>
                    <w:rFonts w:ascii="Times New Roman" w:hAnsi="Times New Roman" w:cs="Times New Roman" w:eastAsiaTheme="majorEastAsia"/>
                    <w:caps/>
                  </w:rPr>
                </w:pPr>
              </w:p>
            </w:tc>
          </w:tr>
          <w:tr>
            <w:tblPrEx>
              <w:tblLayout w:type="fixed"/>
              <w:tblCellMar>
                <w:top w:w="0" w:type="dxa"/>
                <w:left w:w="108" w:type="dxa"/>
                <w:bottom w:w="0" w:type="dxa"/>
                <w:right w:w="108" w:type="dxa"/>
              </w:tblCellMar>
            </w:tblPrEx>
            <w:trPr>
              <w:trHeight w:val="1440" w:hRule="atLeast"/>
              <w:jc w:val="center"/>
            </w:trPr>
            <w:sdt>
              <w:sdtPr>
                <w:rPr>
                  <w:rFonts w:ascii="Times New Roman" w:hAnsi="Times New Roman" w:cs="Times New Roman" w:eastAsiaTheme="majorEastAsia"/>
                  <w:sz w:val="80"/>
                  <w:szCs w:val="80"/>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sz w:val="80"/>
                  <w:szCs w:val="80"/>
                </w:rPr>
              </w:sdtEndPr>
              <w:sdtContent>
                <w:tc>
                  <w:tcPr>
                    <w:tcW w:w="8522" w:type="dxa"/>
                    <w:tcBorders>
                      <w:bottom w:val="single" w:color="4F81BD" w:themeColor="accent1" w:sz="4" w:space="0"/>
                    </w:tcBorders>
                    <w:vAlign w:val="center"/>
                  </w:tcPr>
                  <w:p>
                    <w:pPr>
                      <w:pStyle w:val="8"/>
                      <w:jc w:val="center"/>
                      <w:rPr>
                        <w:rFonts w:ascii="Times New Roman" w:hAnsi="Times New Roman" w:cs="Times New Roman" w:eastAsiaTheme="majorEastAsia"/>
                        <w:sz w:val="80"/>
                        <w:szCs w:val="80"/>
                      </w:rPr>
                    </w:pPr>
                    <w:r>
                      <w:rPr>
                        <w:rFonts w:hint="eastAsia" w:ascii="Times New Roman" w:hAnsi="Times New Roman" w:cs="Times New Roman" w:eastAsiaTheme="majorEastAsia"/>
                        <w:sz w:val="80"/>
                        <w:szCs w:val="80"/>
                        <w:lang w:eastAsia="zh-CN"/>
                      </w:rPr>
                      <w:t xml:space="preserve">2016年东莞市职业介绍服务中心部门决算   </w:t>
                    </w:r>
                  </w:p>
                </w:tc>
              </w:sdtContent>
            </w:sdt>
          </w:tr>
          <w:tr>
            <w:tblPrEx>
              <w:tblLayout w:type="fixed"/>
              <w:tblCellMar>
                <w:top w:w="0" w:type="dxa"/>
                <w:left w:w="108" w:type="dxa"/>
                <w:bottom w:w="0" w:type="dxa"/>
                <w:right w:w="108" w:type="dxa"/>
              </w:tblCellMar>
            </w:tblPrEx>
            <w:trPr>
              <w:trHeight w:val="720" w:hRule="atLeast"/>
              <w:jc w:val="center"/>
            </w:trPr>
            <w:tc>
              <w:tcPr>
                <w:tcW w:w="8522" w:type="dxa"/>
                <w:tcBorders>
                  <w:top w:val="single" w:color="4F81BD" w:themeColor="accent1" w:sz="4" w:space="0"/>
                </w:tcBorders>
                <w:vAlign w:val="center"/>
              </w:tcPr>
              <w:p>
                <w:pPr>
                  <w:pStyle w:val="8"/>
                  <w:jc w:val="center"/>
                  <w:rPr>
                    <w:rFonts w:ascii="Times New Roman" w:hAnsi="Times New Roman" w:cs="Times New Roman" w:eastAsiaTheme="majorEastAsia"/>
                    <w:sz w:val="44"/>
                    <w:szCs w:val="44"/>
                  </w:rPr>
                </w:pPr>
              </w:p>
            </w:tc>
          </w:tr>
          <w:tr>
            <w:tblPrEx>
              <w:tblLayout w:type="fixed"/>
              <w:tblCellMar>
                <w:top w:w="0" w:type="dxa"/>
                <w:left w:w="108" w:type="dxa"/>
                <w:bottom w:w="0" w:type="dxa"/>
                <w:right w:w="108" w:type="dxa"/>
              </w:tblCellMar>
            </w:tblPrEx>
            <w:trPr>
              <w:trHeight w:val="360" w:hRule="atLeast"/>
              <w:jc w:val="center"/>
            </w:trPr>
            <w:tc>
              <w:tcPr>
                <w:tcW w:w="8522" w:type="dxa"/>
                <w:vAlign w:val="center"/>
              </w:tcPr>
              <w:p>
                <w:pPr>
                  <w:pStyle w:val="8"/>
                  <w:jc w:val="center"/>
                  <w:rPr>
                    <w:rFonts w:ascii="Times New Roman" w:hAnsi="Times New Roman" w:cs="Times New Roman"/>
                  </w:rPr>
                </w:pPr>
              </w:p>
            </w:tc>
          </w:tr>
          <w:tr>
            <w:tblPrEx>
              <w:tblLayout w:type="fixed"/>
              <w:tblCellMar>
                <w:top w:w="0" w:type="dxa"/>
                <w:left w:w="108" w:type="dxa"/>
                <w:bottom w:w="0" w:type="dxa"/>
                <w:right w:w="108" w:type="dxa"/>
              </w:tblCellMar>
            </w:tblPrEx>
            <w:trPr>
              <w:trHeight w:val="360" w:hRule="atLeast"/>
              <w:jc w:val="center"/>
            </w:trPr>
            <w:tc>
              <w:tcPr>
                <w:tcW w:w="8522" w:type="dxa"/>
                <w:vAlign w:val="center"/>
              </w:tcPr>
              <w:p>
                <w:pPr>
                  <w:pStyle w:val="8"/>
                  <w:jc w:val="center"/>
                  <w:rPr>
                    <w:rFonts w:ascii="Times New Roman" w:hAnsi="Times New Roman" w:cs="Times New Roman"/>
                    <w:b/>
                    <w:bCs/>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bookmarkStart w:id="1" w:name="_GoBack"/>
          <w:bookmarkEnd w:id="1"/>
        </w:p>
      </w:sdtContent>
    </w:sdt>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目录</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ascii="Times New Roman" w:hAnsi="Times New Roman" w:eastAsia="黑体" w:cs="Times New Roman"/>
          <w:sz w:val="32"/>
          <w:szCs w:val="32"/>
        </w:rPr>
        <w:t>部门概况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一、部门主要职责</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二、部门决算单位构成</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三、人员情况</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6</w:t>
      </w:r>
      <w:r>
        <w:rPr>
          <w:rFonts w:ascii="Times New Roman" w:hAnsi="Times New Roman" w:eastAsia="黑体" w:cs="Times New Roman"/>
          <w:sz w:val="32"/>
          <w:szCs w:val="32"/>
        </w:rPr>
        <w:t>年部门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情况说明</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第三部分 名词解释</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第四部分 2016年部门决算表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一、收入支出决算总表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二、收入决算表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三、支出决算表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四、财政拨款收入支出决算总表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五、一般公共预算财政拨款支出决算表（功能分类）</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六、一般公共预算财政拨款支出决算表（经济分类）</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七、一般公共预算财政拨款“三公”经费支出决算表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八、政府性基金预算财政拨款收入支出决算表</w:t>
      </w: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第一部分  部门概况</w:t>
      </w:r>
    </w:p>
    <w:p>
      <w:pPr>
        <w:pStyle w:val="13"/>
        <w:numPr>
          <w:ilvl w:val="0"/>
          <w:numId w:val="1"/>
        </w:numPr>
        <w:ind w:firstLineChars="0"/>
        <w:rPr>
          <w:rFonts w:ascii="Times New Roman" w:hAnsi="Times New Roman" w:eastAsia="黑体" w:cs="Times New Roman"/>
          <w:sz w:val="32"/>
          <w:szCs w:val="32"/>
        </w:rPr>
      </w:pPr>
      <w:r>
        <w:rPr>
          <w:rFonts w:ascii="Times New Roman" w:hAnsi="Times New Roman" w:eastAsia="黑体" w:cs="Times New Roman"/>
          <w:sz w:val="32"/>
          <w:szCs w:val="32"/>
        </w:rPr>
        <w:t>部门主要职责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职业介绍服务中心是公共就业服务机构，为我市城乡失业人员，包括城镇失业人员、下岗失业人员和农村富余劳动力提供职业指导、职业介绍、岗位援助、求职登记、培训登记、政策咨询等一站式全免费公共就业服务。指导各镇街开展各项主题的招聘会活动；统计全年就业网信息发布情况，并及时对信息的真实性进行抽查，并对相关情况进行通报；组织地区、省际劳动力交流活动；并与各类型学校保持密切联系，为我市用人单位组织输送各类人才；开展各群体的专项职业指导工作。</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单位构成</w:t>
      </w:r>
    </w:p>
    <w:p>
      <w:pPr>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从决算单位构成看，</w:t>
      </w:r>
      <w:r>
        <w:rPr>
          <w:rFonts w:hint="eastAsia" w:ascii="仿宋_GB2312" w:hAnsi="Times New Roman" w:eastAsia="仿宋_GB2312"/>
          <w:sz w:val="32"/>
          <w:szCs w:val="32"/>
        </w:rPr>
        <w:t>东莞市职业介绍服务中心设事业单位1个，其中，内设0个科室、0个派出机构；设事业单位0个。</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三、人员情况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截至2016年底，</w:t>
      </w:r>
      <w:r>
        <w:rPr>
          <w:rFonts w:hint="eastAsia" w:ascii="仿宋_GB2312" w:hAnsi="Times New Roman" w:eastAsia="仿宋_GB2312" w:cs="Times New Roman"/>
          <w:sz w:val="32"/>
          <w:szCs w:val="32"/>
          <w:lang w:eastAsia="zh-CN"/>
        </w:rPr>
        <w:t>东</w:t>
      </w:r>
      <w:r>
        <w:rPr>
          <w:rFonts w:hint="eastAsia" w:ascii="仿宋_GB2312" w:hAnsi="Times New Roman" w:eastAsia="仿宋_GB2312"/>
          <w:sz w:val="32"/>
          <w:szCs w:val="32"/>
        </w:rPr>
        <w:t>莞市职业介绍服务中心</w:t>
      </w:r>
      <w:r>
        <w:rPr>
          <w:rFonts w:hint="eastAsia" w:ascii="仿宋_GB2312" w:hAnsi="Times New Roman" w:eastAsia="仿宋_GB2312"/>
          <w:kern w:val="0"/>
          <w:sz w:val="32"/>
          <w:szCs w:val="32"/>
        </w:rPr>
        <w:t>共有事业编制数35名，财政供养的编内实有在职人员</w:t>
      </w:r>
      <w:r>
        <w:rPr>
          <w:rFonts w:hint="eastAsia" w:ascii="仿宋_GB2312" w:hAnsi="Times New Roman" w:eastAsia="仿宋_GB2312"/>
          <w:sz w:val="32"/>
          <w:szCs w:val="32"/>
        </w:rPr>
        <w:t>33</w:t>
      </w:r>
      <w:r>
        <w:rPr>
          <w:rFonts w:hint="eastAsia" w:ascii="仿宋_GB2312" w:hAnsi="Times New Roman" w:eastAsia="仿宋_GB2312"/>
          <w:kern w:val="0"/>
          <w:sz w:val="32"/>
          <w:szCs w:val="32"/>
        </w:rPr>
        <w:t>人，另外，有离退休</w:t>
      </w:r>
      <w:r>
        <w:rPr>
          <w:rFonts w:hint="eastAsia" w:ascii="仿宋_GB2312" w:hAnsi="Times New Roman" w:eastAsia="仿宋_GB2312"/>
          <w:sz w:val="32"/>
          <w:szCs w:val="32"/>
        </w:rPr>
        <w:t>1</w:t>
      </w:r>
      <w:r>
        <w:rPr>
          <w:rFonts w:hint="eastAsia" w:ascii="仿宋_GB2312" w:hAnsi="Times New Roman" w:eastAsia="仿宋_GB2312"/>
          <w:kern w:val="0"/>
          <w:sz w:val="32"/>
          <w:szCs w:val="32"/>
        </w:rPr>
        <w:t>人，聘用人员</w:t>
      </w:r>
      <w:r>
        <w:rPr>
          <w:rFonts w:hint="eastAsia" w:ascii="仿宋_GB2312" w:hAnsi="Times New Roman" w:eastAsia="仿宋_GB2312"/>
          <w:sz w:val="32"/>
          <w:szCs w:val="32"/>
        </w:rPr>
        <w:t>4</w:t>
      </w:r>
      <w:r>
        <w:rPr>
          <w:rFonts w:hint="eastAsia" w:ascii="仿宋_GB2312" w:hAnsi="Times New Roman" w:eastAsia="仿宋_GB2312"/>
          <w:kern w:val="0"/>
          <w:sz w:val="32"/>
          <w:szCs w:val="32"/>
        </w:rPr>
        <w:t>人，后勤服务人员</w:t>
      </w:r>
      <w:r>
        <w:rPr>
          <w:rFonts w:hint="eastAsia" w:ascii="仿宋_GB2312" w:hAnsi="Times New Roman" w:eastAsia="仿宋_GB2312"/>
          <w:sz w:val="32"/>
          <w:szCs w:val="32"/>
        </w:rPr>
        <w:t>2</w:t>
      </w:r>
      <w:r>
        <w:rPr>
          <w:rFonts w:hint="eastAsia" w:ascii="仿宋_GB2312" w:hAnsi="Times New Roman" w:eastAsia="仿宋_GB2312"/>
          <w:kern w:val="0"/>
          <w:sz w:val="32"/>
          <w:szCs w:val="32"/>
        </w:rPr>
        <w:t>人。</w:t>
      </w:r>
    </w:p>
    <w:p>
      <w:pPr>
        <w:jc w:val="both"/>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6</w:t>
      </w:r>
      <w:r>
        <w:rPr>
          <w:rFonts w:ascii="Times New Roman" w:hAnsi="Times New Roman" w:eastAsia="黑体" w:cs="Times New Roman"/>
          <w:sz w:val="32"/>
          <w:szCs w:val="32"/>
        </w:rPr>
        <w:t>年部门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情况说明</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一、收入支出决算总体情况说明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本部门2016年度收入总计</w:t>
      </w:r>
      <w:r>
        <w:rPr>
          <w:rFonts w:hint="eastAsia" w:ascii="仿宋_GB2312" w:hAnsi="Times New Roman" w:eastAsia="仿宋_GB2312" w:cs="Times New Roman"/>
          <w:sz w:val="32"/>
          <w:szCs w:val="32"/>
          <w:lang w:val="en-US" w:eastAsia="zh-CN"/>
        </w:rPr>
        <w:t>1071.27</w:t>
      </w:r>
      <w:r>
        <w:rPr>
          <w:rFonts w:hint="eastAsia" w:ascii="仿宋_GB2312" w:hAnsi="Times New Roman" w:eastAsia="仿宋_GB2312" w:cs="Times New Roman"/>
          <w:sz w:val="32"/>
          <w:szCs w:val="32"/>
        </w:rPr>
        <w:t>万元，支出总计</w:t>
      </w:r>
      <w:r>
        <w:rPr>
          <w:rFonts w:hint="eastAsia" w:ascii="仿宋_GB2312" w:hAnsi="Times New Roman" w:eastAsia="仿宋_GB2312" w:cs="Times New Roman"/>
          <w:sz w:val="32"/>
          <w:szCs w:val="32"/>
          <w:lang w:val="en-US" w:eastAsia="zh-CN"/>
        </w:rPr>
        <w:t>1057.46</w:t>
      </w:r>
      <w:r>
        <w:rPr>
          <w:rFonts w:hint="eastAsia" w:ascii="仿宋_GB2312" w:hAnsi="Times New Roman" w:eastAsia="仿宋_GB2312" w:cs="Times New Roman"/>
          <w:sz w:val="32"/>
          <w:szCs w:val="32"/>
        </w:rPr>
        <w:t>万元。与2015年相比，收</w:t>
      </w:r>
      <w:r>
        <w:rPr>
          <w:rFonts w:hint="eastAsia" w:ascii="仿宋_GB2312" w:hAnsi="Times New Roman" w:eastAsia="仿宋_GB2312" w:cs="Times New Roman"/>
          <w:sz w:val="32"/>
          <w:szCs w:val="32"/>
          <w:lang w:eastAsia="zh-CN"/>
        </w:rPr>
        <w:t>入</w:t>
      </w:r>
      <w:r>
        <w:rPr>
          <w:rFonts w:hint="eastAsia" w:ascii="仿宋_GB2312" w:hAnsi="Times New Roman" w:eastAsia="仿宋_GB2312" w:cs="Times New Roman"/>
          <w:sz w:val="32"/>
          <w:szCs w:val="32"/>
        </w:rPr>
        <w:t>总计增加</w:t>
      </w:r>
      <w:r>
        <w:rPr>
          <w:rFonts w:hint="eastAsia" w:ascii="仿宋_GB2312" w:hAnsi="Times New Roman" w:eastAsia="仿宋_GB2312" w:cs="Times New Roman"/>
          <w:sz w:val="32"/>
          <w:szCs w:val="32"/>
          <w:lang w:val="en-US" w:eastAsia="zh-CN"/>
        </w:rPr>
        <w:t>340.66</w:t>
      </w:r>
      <w:r>
        <w:rPr>
          <w:rFonts w:hint="eastAsia" w:ascii="仿宋_GB2312" w:hAnsi="Times New Roman" w:eastAsia="仿宋_GB2312" w:cs="Times New Roman"/>
          <w:sz w:val="32"/>
          <w:szCs w:val="32"/>
        </w:rPr>
        <w:t>万元，增长</w:t>
      </w:r>
      <w:r>
        <w:rPr>
          <w:rFonts w:hint="eastAsia" w:ascii="仿宋_GB2312" w:hAnsi="Times New Roman" w:eastAsia="仿宋_GB2312" w:cs="Times New Roman"/>
          <w:sz w:val="32"/>
          <w:szCs w:val="32"/>
          <w:lang w:val="en-US" w:eastAsia="zh-CN"/>
        </w:rPr>
        <w:t>47%</w:t>
      </w:r>
      <w:r>
        <w:rPr>
          <w:rFonts w:hint="eastAsia" w:ascii="仿宋_GB2312" w:hAnsi="Times New Roman" w:eastAsia="仿宋_GB2312" w:cs="Times New Roman"/>
          <w:sz w:val="32"/>
          <w:szCs w:val="32"/>
          <w:lang w:eastAsia="zh-CN"/>
        </w:rPr>
        <w:t>，支出</w:t>
      </w:r>
      <w:r>
        <w:rPr>
          <w:rFonts w:hint="eastAsia" w:ascii="仿宋_GB2312" w:hAnsi="Times New Roman" w:eastAsia="仿宋_GB2312" w:cs="Times New Roman"/>
          <w:sz w:val="32"/>
          <w:szCs w:val="32"/>
        </w:rPr>
        <w:t>总计增加</w:t>
      </w:r>
      <w:r>
        <w:rPr>
          <w:rFonts w:hint="eastAsia" w:ascii="仿宋_GB2312" w:hAnsi="Times New Roman" w:eastAsia="仿宋_GB2312" w:cs="Times New Roman"/>
          <w:sz w:val="32"/>
          <w:szCs w:val="32"/>
          <w:lang w:val="en-US" w:eastAsia="zh-CN"/>
        </w:rPr>
        <w:t>330.5</w:t>
      </w:r>
      <w:r>
        <w:rPr>
          <w:rFonts w:hint="eastAsia" w:ascii="仿宋_GB2312" w:hAnsi="Times New Roman" w:eastAsia="仿宋_GB2312" w:cs="Times New Roman"/>
          <w:sz w:val="32"/>
          <w:szCs w:val="32"/>
        </w:rPr>
        <w:t>万元，增长</w:t>
      </w:r>
      <w:r>
        <w:rPr>
          <w:rFonts w:hint="eastAsia" w:ascii="仿宋_GB2312" w:hAnsi="Times New Roman" w:eastAsia="仿宋_GB2312" w:cs="Times New Roman"/>
          <w:sz w:val="32"/>
          <w:szCs w:val="32"/>
          <w:lang w:val="en-US" w:eastAsia="zh-CN"/>
        </w:rPr>
        <w:t>45</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二、收入决算情况说明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本部门2016年度收入合计</w:t>
      </w:r>
      <w:r>
        <w:rPr>
          <w:rFonts w:hint="eastAsia" w:ascii="仿宋_GB2312" w:hAnsi="Times New Roman" w:eastAsia="仿宋_GB2312" w:cs="Times New Roman"/>
          <w:sz w:val="32"/>
          <w:szCs w:val="32"/>
          <w:lang w:val="en-US" w:eastAsia="zh-CN"/>
        </w:rPr>
        <w:t>1071.27</w:t>
      </w:r>
      <w:r>
        <w:rPr>
          <w:rFonts w:hint="eastAsia" w:ascii="仿宋_GB2312" w:hAnsi="Times New Roman" w:eastAsia="仿宋_GB2312" w:cs="Times New Roman"/>
          <w:sz w:val="32"/>
          <w:szCs w:val="32"/>
        </w:rPr>
        <w:t>万元，其中：财政拨款收入</w:t>
      </w:r>
      <w:r>
        <w:rPr>
          <w:rFonts w:hint="eastAsia" w:ascii="仿宋_GB2312" w:hAnsi="Times New Roman" w:eastAsia="仿宋_GB2312" w:cs="Times New Roman"/>
          <w:sz w:val="32"/>
          <w:szCs w:val="32"/>
          <w:lang w:val="en-US" w:eastAsia="zh-CN"/>
        </w:rPr>
        <w:t>1071.27</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三、支出决算情况说明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本部门2016年度支出合计</w:t>
      </w:r>
      <w:r>
        <w:rPr>
          <w:rFonts w:hint="eastAsia" w:ascii="仿宋_GB2312" w:hAnsi="Times New Roman" w:eastAsia="仿宋_GB2312" w:cs="Times New Roman"/>
          <w:sz w:val="32"/>
          <w:szCs w:val="32"/>
          <w:lang w:val="en-US" w:eastAsia="zh-CN"/>
        </w:rPr>
        <w:t>1057.46</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830.29</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79</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227.17</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21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四、财政拨款收入支出决算总体情况说明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本部门2016年度财政拨款收入总计</w:t>
      </w:r>
      <w:r>
        <w:rPr>
          <w:rFonts w:hint="eastAsia" w:ascii="仿宋_GB2312" w:hAnsi="Times New Roman" w:eastAsia="仿宋_GB2312" w:cs="Times New Roman"/>
          <w:sz w:val="32"/>
          <w:szCs w:val="32"/>
          <w:lang w:val="en-US" w:eastAsia="zh-CN"/>
        </w:rPr>
        <w:t>1071.27</w:t>
      </w:r>
      <w:r>
        <w:rPr>
          <w:rFonts w:hint="eastAsia" w:ascii="仿宋_GB2312" w:hAnsi="Times New Roman" w:eastAsia="仿宋_GB2312" w:cs="Times New Roman"/>
          <w:sz w:val="32"/>
          <w:szCs w:val="32"/>
        </w:rPr>
        <w:t>万元，支出总计</w:t>
      </w:r>
      <w:r>
        <w:rPr>
          <w:rFonts w:hint="eastAsia" w:ascii="仿宋_GB2312" w:hAnsi="Times New Roman" w:eastAsia="仿宋_GB2312" w:cs="Times New Roman"/>
          <w:sz w:val="32"/>
          <w:szCs w:val="32"/>
          <w:lang w:val="en-US" w:eastAsia="zh-CN"/>
        </w:rPr>
        <w:t>1049.85</w:t>
      </w:r>
      <w:r>
        <w:rPr>
          <w:rFonts w:hint="eastAsia" w:ascii="仿宋_GB2312" w:hAnsi="Times New Roman" w:eastAsia="仿宋_GB2312" w:cs="Times New Roman"/>
          <w:sz w:val="32"/>
          <w:szCs w:val="32"/>
        </w:rPr>
        <w:t>万元。与2015年相比，财政拨款收</w:t>
      </w:r>
      <w:r>
        <w:rPr>
          <w:rFonts w:hint="eastAsia" w:ascii="仿宋_GB2312" w:hAnsi="Times New Roman" w:eastAsia="仿宋_GB2312" w:cs="Times New Roman"/>
          <w:sz w:val="32"/>
          <w:szCs w:val="32"/>
          <w:lang w:eastAsia="zh-CN"/>
        </w:rPr>
        <w:t>入</w:t>
      </w:r>
      <w:r>
        <w:rPr>
          <w:rFonts w:hint="eastAsia" w:ascii="仿宋_GB2312" w:hAnsi="Times New Roman" w:eastAsia="仿宋_GB2312" w:cs="Times New Roman"/>
          <w:sz w:val="32"/>
          <w:szCs w:val="32"/>
        </w:rPr>
        <w:t>总计增加</w:t>
      </w:r>
      <w:r>
        <w:rPr>
          <w:rFonts w:hint="eastAsia" w:ascii="仿宋_GB2312" w:hAnsi="Times New Roman" w:eastAsia="仿宋_GB2312" w:cs="Times New Roman"/>
          <w:sz w:val="32"/>
          <w:szCs w:val="32"/>
          <w:lang w:val="en-US" w:eastAsia="zh-CN"/>
        </w:rPr>
        <w:t>340.66</w:t>
      </w:r>
      <w:r>
        <w:rPr>
          <w:rFonts w:hint="eastAsia" w:ascii="仿宋_GB2312" w:hAnsi="Times New Roman" w:eastAsia="仿宋_GB2312" w:cs="Times New Roman"/>
          <w:sz w:val="32"/>
          <w:szCs w:val="32"/>
        </w:rPr>
        <w:t>万元，增长</w:t>
      </w:r>
      <w:r>
        <w:rPr>
          <w:rFonts w:hint="eastAsia" w:ascii="仿宋_GB2312" w:hAnsi="Times New Roman" w:eastAsia="仿宋_GB2312" w:cs="Times New Roman"/>
          <w:sz w:val="32"/>
          <w:szCs w:val="32"/>
          <w:lang w:val="en-US" w:eastAsia="zh-CN"/>
        </w:rPr>
        <w:t>47%</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财政拨款</w:t>
      </w:r>
      <w:r>
        <w:rPr>
          <w:rFonts w:hint="eastAsia" w:ascii="仿宋_GB2312" w:hAnsi="Times New Roman" w:eastAsia="仿宋_GB2312" w:cs="Times New Roman"/>
          <w:sz w:val="32"/>
          <w:szCs w:val="32"/>
          <w:lang w:eastAsia="zh-CN"/>
        </w:rPr>
        <w:t>支出</w:t>
      </w:r>
      <w:r>
        <w:rPr>
          <w:rFonts w:hint="eastAsia" w:ascii="仿宋_GB2312" w:hAnsi="Times New Roman" w:eastAsia="仿宋_GB2312" w:cs="Times New Roman"/>
          <w:sz w:val="32"/>
          <w:szCs w:val="32"/>
        </w:rPr>
        <w:t>总计增加</w:t>
      </w:r>
      <w:r>
        <w:rPr>
          <w:rFonts w:hint="eastAsia" w:ascii="仿宋_GB2312" w:hAnsi="Times New Roman" w:eastAsia="仿宋_GB2312" w:cs="Times New Roman"/>
          <w:sz w:val="32"/>
          <w:szCs w:val="32"/>
          <w:lang w:val="en-US" w:eastAsia="zh-CN"/>
        </w:rPr>
        <w:t>322.89</w:t>
      </w:r>
      <w:r>
        <w:rPr>
          <w:rFonts w:hint="eastAsia" w:ascii="仿宋_GB2312" w:hAnsi="Times New Roman" w:eastAsia="仿宋_GB2312" w:cs="Times New Roman"/>
          <w:sz w:val="32"/>
          <w:szCs w:val="32"/>
        </w:rPr>
        <w:t>万元，增长</w:t>
      </w:r>
      <w:r>
        <w:rPr>
          <w:rFonts w:hint="eastAsia" w:ascii="仿宋_GB2312" w:hAnsi="Times New Roman" w:eastAsia="仿宋_GB2312" w:cs="Times New Roman"/>
          <w:sz w:val="32"/>
          <w:szCs w:val="32"/>
          <w:lang w:val="en-US" w:eastAsia="zh-CN"/>
        </w:rPr>
        <w:t>44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五、一般公共预算财政拨款支出决算情况说明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（一）一般公共预算财政拨款支出决算总体情况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本部门2016年度一般公共预算财政拨款支出</w:t>
      </w:r>
      <w:r>
        <w:rPr>
          <w:rFonts w:hint="eastAsia" w:ascii="仿宋_GB2312" w:hAnsi="Times New Roman" w:eastAsia="仿宋_GB2312" w:cs="Times New Roman"/>
          <w:sz w:val="32"/>
          <w:szCs w:val="32"/>
          <w:lang w:val="en-US" w:eastAsia="zh-CN"/>
        </w:rPr>
        <w:t>1049.85</w:t>
      </w:r>
      <w:r>
        <w:rPr>
          <w:rFonts w:hint="eastAsia" w:ascii="仿宋_GB2312" w:hAnsi="Times New Roman" w:eastAsia="仿宋_GB2312" w:cs="Times New Roman"/>
          <w:sz w:val="32"/>
          <w:szCs w:val="32"/>
        </w:rPr>
        <w:t>万元，占本年支出合计</w:t>
      </w:r>
      <w:r>
        <w:rPr>
          <w:rFonts w:hint="eastAsia" w:ascii="仿宋_GB2312" w:hAnsi="Times New Roman" w:eastAsia="仿宋_GB2312" w:cs="Times New Roman"/>
          <w:sz w:val="32"/>
          <w:szCs w:val="32"/>
          <w:lang w:val="en-US" w:eastAsia="zh-CN"/>
        </w:rPr>
        <w:t>99</w:t>
      </w:r>
      <w:r>
        <w:rPr>
          <w:rFonts w:hint="eastAsia" w:ascii="仿宋_GB2312" w:hAnsi="Times New Roman" w:eastAsia="仿宋_GB2312" w:cs="Times New Roman"/>
          <w:sz w:val="32"/>
          <w:szCs w:val="32"/>
        </w:rPr>
        <w:t>%。与2015年相比，一般公共预算财政拨款支出增加</w:t>
      </w:r>
      <w:r>
        <w:rPr>
          <w:rFonts w:hint="eastAsia" w:ascii="仿宋_GB2312" w:hAnsi="Times New Roman" w:eastAsia="仿宋_GB2312" w:cs="Times New Roman"/>
          <w:sz w:val="32"/>
          <w:szCs w:val="32"/>
          <w:lang w:val="en-US" w:eastAsia="zh-CN"/>
        </w:rPr>
        <w:t>322.89</w:t>
      </w:r>
      <w:r>
        <w:rPr>
          <w:rFonts w:hint="eastAsia" w:ascii="仿宋_GB2312" w:hAnsi="Times New Roman" w:eastAsia="仿宋_GB2312" w:cs="Times New Roman"/>
          <w:sz w:val="32"/>
          <w:szCs w:val="32"/>
        </w:rPr>
        <w:t>万元，增长</w:t>
      </w:r>
      <w:r>
        <w:rPr>
          <w:rFonts w:hint="eastAsia" w:ascii="仿宋_GB2312" w:hAnsi="Times New Roman" w:eastAsia="仿宋_GB2312" w:cs="Times New Roman"/>
          <w:sz w:val="32"/>
          <w:szCs w:val="32"/>
          <w:lang w:val="en-US" w:eastAsia="zh-CN"/>
        </w:rPr>
        <w:t>44</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（二）一般公共预算财政拨款支出决算结构情况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本部门2016年度一般公共预算财政拨款支出</w:t>
      </w:r>
      <w:r>
        <w:rPr>
          <w:rFonts w:hint="eastAsia" w:ascii="仿宋_GB2312" w:hAnsi="Times New Roman" w:eastAsia="仿宋_GB2312" w:cs="Times New Roman"/>
          <w:sz w:val="32"/>
          <w:szCs w:val="32"/>
          <w:lang w:val="en-US" w:eastAsia="zh-CN"/>
        </w:rPr>
        <w:t>1049.85</w:t>
      </w:r>
      <w:r>
        <w:rPr>
          <w:rFonts w:hint="eastAsia" w:ascii="仿宋_GB2312" w:hAnsi="Times New Roman" w:eastAsia="仿宋_GB2312" w:cs="Times New Roman"/>
          <w:sz w:val="32"/>
          <w:szCs w:val="32"/>
        </w:rPr>
        <w:t>万元，主要用于以下方面:社会保障和就业支出</w:t>
      </w:r>
      <w:r>
        <w:rPr>
          <w:rFonts w:hint="eastAsia" w:ascii="仿宋_GB2312" w:hAnsi="Times New Roman" w:eastAsia="仿宋_GB2312" w:cs="Times New Roman"/>
          <w:sz w:val="32"/>
          <w:szCs w:val="32"/>
          <w:lang w:val="en-US" w:eastAsia="zh-CN"/>
        </w:rPr>
        <w:t>1007.86</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96</w:t>
      </w:r>
      <w:r>
        <w:rPr>
          <w:rFonts w:hint="eastAsia" w:ascii="仿宋_GB2312" w:hAnsi="Times New Roman" w:eastAsia="仿宋_GB2312" w:cs="Times New Roman"/>
          <w:sz w:val="32"/>
          <w:szCs w:val="32"/>
        </w:rPr>
        <w:t>%；住房保障支出</w:t>
      </w:r>
      <w:r>
        <w:rPr>
          <w:rFonts w:hint="eastAsia" w:ascii="仿宋_GB2312" w:hAnsi="Times New Roman" w:eastAsia="仿宋_GB2312" w:cs="Times New Roman"/>
          <w:sz w:val="32"/>
          <w:szCs w:val="32"/>
          <w:lang w:val="en-US" w:eastAsia="zh-CN"/>
        </w:rPr>
        <w:t>41.99</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（三）一般公共预算财政拨款支出决算具体情况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w:t>
      </w:r>
      <w:r>
        <w:rPr>
          <w:rFonts w:hint="eastAsia" w:ascii="Times New Roman" w:hAnsi="Times New Roman" w:eastAsia="仿宋_GB2312" w:cs="Times New Roman"/>
          <w:sz w:val="32"/>
          <w:szCs w:val="32"/>
        </w:rPr>
        <w:t>一般公共预算</w:t>
      </w:r>
      <w:r>
        <w:rPr>
          <w:rFonts w:hint="eastAsia" w:ascii="仿宋_GB2312" w:hAnsi="Times New Roman" w:eastAsia="仿宋_GB2312" w:cs="Times New Roman"/>
          <w:sz w:val="32"/>
          <w:szCs w:val="32"/>
        </w:rPr>
        <w:t>财政拨款支出年初预算</w:t>
      </w:r>
      <w:r>
        <w:rPr>
          <w:rFonts w:hint="eastAsia" w:ascii="仿宋_GB2312" w:hAnsi="Times New Roman" w:eastAsia="仿宋_GB2312" w:cs="Times New Roman"/>
          <w:sz w:val="32"/>
          <w:szCs w:val="32"/>
          <w:lang w:val="en-US" w:eastAsia="zh-CN"/>
        </w:rPr>
        <w:t>1049.85</w:t>
      </w:r>
      <w:r>
        <w:rPr>
          <w:rFonts w:hint="eastAsia" w:ascii="仿宋_GB2312" w:hAnsi="Times New Roman" w:eastAsia="仿宋_GB2312" w:cs="Times New Roman"/>
          <w:sz w:val="32"/>
          <w:szCs w:val="32"/>
        </w:rPr>
        <w:t>万元，支出决算</w:t>
      </w:r>
      <w:r>
        <w:rPr>
          <w:rFonts w:hint="eastAsia" w:ascii="仿宋_GB2312" w:hAnsi="Times New Roman" w:eastAsia="仿宋_GB2312" w:cs="Times New Roman"/>
          <w:sz w:val="32"/>
          <w:szCs w:val="32"/>
          <w:lang w:val="en-US" w:eastAsia="zh-CN"/>
        </w:rPr>
        <w:t>1049.85</w:t>
      </w:r>
      <w:r>
        <w:rPr>
          <w:rFonts w:hint="eastAsia" w:ascii="仿宋_GB2312" w:hAnsi="Times New Roman" w:eastAsia="仿宋_GB2312" w:cs="Times New Roman"/>
          <w:sz w:val="32"/>
          <w:szCs w:val="32"/>
        </w:rPr>
        <w:t>万元，完成年初预算的</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%。其中：</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社会保障和就业支出</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人力资源和社会保障管理事务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w:t>
      </w:r>
      <w:r>
        <w:rPr>
          <w:rFonts w:hint="eastAsia" w:ascii="仿宋_GB2312" w:hAnsi="Times New Roman" w:eastAsia="仿宋_GB2312" w:cs="Times New Roman"/>
          <w:sz w:val="32"/>
          <w:szCs w:val="32"/>
          <w:lang w:eastAsia="zh-CN"/>
        </w:rPr>
        <w:t>公共就业服务和职业技能鉴定机构</w:t>
      </w:r>
      <w:r>
        <w:rPr>
          <w:rFonts w:hint="eastAsia" w:ascii="仿宋_GB2312" w:hAnsi="Times New Roman" w:eastAsia="仿宋_GB2312" w:cs="Times New Roman"/>
          <w:sz w:val="32"/>
          <w:szCs w:val="32"/>
        </w:rPr>
        <w:t>（科目编码：</w:t>
      </w:r>
      <w:r>
        <w:rPr>
          <w:rFonts w:hint="eastAsia" w:ascii="仿宋_GB2312" w:hAnsi="Times New Roman" w:eastAsia="仿宋_GB2312" w:cs="Times New Roman"/>
          <w:sz w:val="32"/>
          <w:szCs w:val="32"/>
          <w:lang w:val="en-US" w:eastAsia="zh-CN"/>
        </w:rPr>
        <w:t>2080111</w:t>
      </w:r>
      <w:r>
        <w:rPr>
          <w:rFonts w:hint="eastAsia" w:ascii="仿宋_GB2312" w:hAnsi="Times New Roman" w:eastAsia="仿宋_GB2312" w:cs="Times New Roman"/>
          <w:sz w:val="32"/>
          <w:szCs w:val="32"/>
        </w:rPr>
        <w:t>）年初预算数为</w:t>
      </w:r>
      <w:r>
        <w:rPr>
          <w:rFonts w:hint="eastAsia" w:ascii="仿宋_GB2312" w:hAnsi="Times New Roman" w:eastAsia="仿宋_GB2312" w:cs="Times New Roman"/>
          <w:sz w:val="32"/>
          <w:szCs w:val="32"/>
          <w:lang w:val="en-US" w:eastAsia="zh-CN"/>
        </w:rPr>
        <w:t>984.98</w:t>
      </w:r>
      <w:r>
        <w:rPr>
          <w:rFonts w:hint="eastAsia" w:ascii="仿宋_GB2312" w:hAnsi="Times New Roman" w:eastAsia="仿宋_GB2312" w:cs="Times New Roman"/>
          <w:sz w:val="32"/>
          <w:szCs w:val="32"/>
        </w:rPr>
        <w:t>万元，支出决算数为</w:t>
      </w:r>
      <w:r>
        <w:rPr>
          <w:rFonts w:hint="eastAsia" w:ascii="仿宋_GB2312" w:hAnsi="Times New Roman" w:eastAsia="仿宋_GB2312" w:cs="Times New Roman"/>
          <w:sz w:val="32"/>
          <w:szCs w:val="32"/>
          <w:lang w:val="en-US" w:eastAsia="zh-CN"/>
        </w:rPr>
        <w:t>984.98</w:t>
      </w:r>
      <w:r>
        <w:rPr>
          <w:rFonts w:hint="eastAsia" w:ascii="仿宋_GB2312" w:hAnsi="Times New Roman" w:eastAsia="仿宋_GB2312" w:cs="Times New Roman"/>
          <w:sz w:val="32"/>
          <w:szCs w:val="32"/>
        </w:rPr>
        <w:t>万元，完成年初预算的</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就业补助</w:t>
      </w:r>
    </w:p>
    <w:p>
      <w:pPr>
        <w:rPr>
          <w:rFonts w:hint="eastAsia" w:ascii="仿宋_GB2312" w:hAnsi="Times New Roman" w:eastAsia="仿宋_GB2312" w:cs="Times New Roman"/>
          <w:sz w:val="32"/>
          <w:szCs w:val="32"/>
        </w:rPr>
      </w:pPr>
      <w:r>
        <w:rPr>
          <w:rFonts w:hint="eastAsia"/>
          <w:lang w:val="en-US" w:eastAsia="zh-CN"/>
        </w:rPr>
        <w:t xml:space="preserve">      </w:t>
      </w:r>
      <w:r>
        <w:rPr>
          <w:rFonts w:hint="eastAsia" w:ascii="仿宋_GB2312" w:hAnsi="Times New Roman" w:eastAsia="仿宋_GB2312" w:cs="Times New Roman"/>
          <w:sz w:val="32"/>
          <w:szCs w:val="32"/>
        </w:rPr>
        <w:t>① 就业创业服务补贴（科目编码：</w:t>
      </w:r>
      <w:r>
        <w:rPr>
          <w:rFonts w:hint="eastAsia" w:ascii="仿宋_GB2312" w:hAnsi="Times New Roman" w:eastAsia="仿宋_GB2312" w:cs="Times New Roman"/>
          <w:sz w:val="32"/>
          <w:szCs w:val="32"/>
          <w:lang w:val="en-US" w:eastAsia="zh-CN"/>
        </w:rPr>
        <w:t>2080701</w:t>
      </w:r>
      <w:r>
        <w:rPr>
          <w:rFonts w:hint="eastAsia" w:ascii="仿宋_GB2312" w:hAnsi="Times New Roman" w:eastAsia="仿宋_GB2312" w:cs="Times New Roman"/>
          <w:sz w:val="32"/>
          <w:szCs w:val="32"/>
        </w:rPr>
        <w:t>）年初预算数为</w:t>
      </w:r>
      <w:r>
        <w:rPr>
          <w:rFonts w:hint="eastAsia" w:ascii="仿宋_GB2312" w:hAnsi="Times New Roman" w:eastAsia="仿宋_GB2312" w:cs="Times New Roman"/>
          <w:sz w:val="32"/>
          <w:szCs w:val="32"/>
          <w:lang w:val="en-US" w:eastAsia="zh-CN"/>
        </w:rPr>
        <w:t>22.88</w:t>
      </w:r>
      <w:r>
        <w:rPr>
          <w:rFonts w:hint="eastAsia" w:ascii="仿宋_GB2312" w:hAnsi="Times New Roman" w:eastAsia="仿宋_GB2312" w:cs="Times New Roman"/>
          <w:sz w:val="32"/>
          <w:szCs w:val="32"/>
        </w:rPr>
        <w:t>万元，支出决算数为</w:t>
      </w:r>
      <w:r>
        <w:rPr>
          <w:rFonts w:hint="eastAsia" w:ascii="仿宋_GB2312" w:hAnsi="Times New Roman" w:eastAsia="仿宋_GB2312" w:cs="Times New Roman"/>
          <w:sz w:val="32"/>
          <w:szCs w:val="32"/>
          <w:lang w:val="en-US" w:eastAsia="zh-CN"/>
        </w:rPr>
        <w:t>22.88</w:t>
      </w:r>
      <w:r>
        <w:rPr>
          <w:rFonts w:hint="eastAsia" w:ascii="仿宋_GB2312" w:hAnsi="Times New Roman" w:eastAsia="仿宋_GB2312" w:cs="Times New Roman"/>
          <w:sz w:val="32"/>
          <w:szCs w:val="32"/>
        </w:rPr>
        <w:t>万元，完成年初预算的</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p>
    <w:p>
      <w:pPr>
        <w:numPr>
          <w:ilvl w:val="0"/>
          <w:numId w:val="2"/>
        </w:num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住房保障支出</w:t>
      </w:r>
    </w:p>
    <w:p>
      <w:pPr>
        <w:numPr>
          <w:ilvl w:val="0"/>
          <w:numId w:val="0"/>
        </w:numP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住房改革支出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①</w:t>
      </w:r>
      <w:r>
        <w:rPr>
          <w:rFonts w:hint="eastAsia" w:ascii="仿宋_GB2312" w:hAnsi="Times New Roman" w:eastAsia="仿宋_GB2312" w:cs="Times New Roman"/>
          <w:sz w:val="32"/>
          <w:szCs w:val="32"/>
          <w:lang w:eastAsia="zh-CN"/>
        </w:rPr>
        <w:t>住房公积金</w:t>
      </w:r>
      <w:r>
        <w:rPr>
          <w:rFonts w:hint="eastAsia" w:ascii="仿宋_GB2312" w:hAnsi="Times New Roman" w:eastAsia="仿宋_GB2312" w:cs="Times New Roman"/>
          <w:sz w:val="32"/>
          <w:szCs w:val="32"/>
        </w:rPr>
        <w:t>（科目编码：</w:t>
      </w:r>
      <w:r>
        <w:rPr>
          <w:rFonts w:hint="eastAsia" w:ascii="仿宋_GB2312" w:hAnsi="Times New Roman" w:eastAsia="仿宋_GB2312" w:cs="Times New Roman"/>
          <w:sz w:val="32"/>
          <w:szCs w:val="32"/>
          <w:lang w:val="en-US" w:eastAsia="zh-CN"/>
        </w:rPr>
        <w:t>2210201</w:t>
      </w:r>
      <w:r>
        <w:rPr>
          <w:rFonts w:hint="eastAsia" w:ascii="仿宋_GB2312" w:hAnsi="Times New Roman" w:eastAsia="仿宋_GB2312" w:cs="Times New Roman"/>
          <w:sz w:val="32"/>
          <w:szCs w:val="32"/>
        </w:rPr>
        <w:t>）年初预算数为</w:t>
      </w:r>
      <w:r>
        <w:rPr>
          <w:rFonts w:hint="eastAsia" w:ascii="仿宋_GB2312" w:hAnsi="Times New Roman" w:eastAsia="仿宋_GB2312" w:cs="Times New Roman"/>
          <w:sz w:val="32"/>
          <w:szCs w:val="32"/>
          <w:lang w:val="en-US" w:eastAsia="zh-CN"/>
        </w:rPr>
        <w:t>41.99</w:t>
      </w:r>
      <w:r>
        <w:rPr>
          <w:rFonts w:hint="eastAsia" w:ascii="仿宋_GB2312" w:hAnsi="Times New Roman" w:eastAsia="仿宋_GB2312" w:cs="Times New Roman"/>
          <w:sz w:val="32"/>
          <w:szCs w:val="32"/>
        </w:rPr>
        <w:t>万元，支出决算数为</w:t>
      </w:r>
      <w:r>
        <w:rPr>
          <w:rFonts w:hint="eastAsia" w:ascii="仿宋_GB2312" w:hAnsi="Times New Roman" w:eastAsia="仿宋_GB2312" w:cs="Times New Roman"/>
          <w:sz w:val="32"/>
          <w:szCs w:val="32"/>
          <w:lang w:val="en-US" w:eastAsia="zh-CN"/>
        </w:rPr>
        <w:t>41.99</w:t>
      </w:r>
      <w:r>
        <w:rPr>
          <w:rFonts w:hint="eastAsia" w:ascii="仿宋_GB2312" w:hAnsi="Times New Roman" w:eastAsia="仿宋_GB2312" w:cs="Times New Roman"/>
          <w:sz w:val="32"/>
          <w:szCs w:val="32"/>
        </w:rPr>
        <w:t>万元，完成年初预算的</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p>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六、一般公共预算财政拨款基本支出决算情况说明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本部门2016年度一般公共预算</w:t>
      </w:r>
      <w:r>
        <w:rPr>
          <w:rFonts w:hint="eastAsia" w:ascii="Times New Roman" w:hAnsi="Times New Roman" w:eastAsia="仿宋_GB2312" w:cs="Times New Roman"/>
          <w:sz w:val="32"/>
          <w:szCs w:val="32"/>
        </w:rPr>
        <w:t>财政拨款基本支出</w:t>
      </w:r>
      <w:r>
        <w:rPr>
          <w:rFonts w:hint="eastAsia" w:ascii="Times New Roman" w:hAnsi="Times New Roman" w:eastAsia="仿宋_GB2312" w:cs="Times New Roman"/>
          <w:sz w:val="32"/>
          <w:szCs w:val="32"/>
          <w:lang w:val="en-US" w:eastAsia="zh-CN"/>
        </w:rPr>
        <w:t>830.29</w:t>
      </w:r>
      <w:r>
        <w:rPr>
          <w:rFonts w:hint="eastAsia" w:ascii="Times New Roman" w:hAnsi="Times New Roman" w:eastAsia="仿宋_GB2312" w:cs="Times New Roman"/>
          <w:sz w:val="32"/>
          <w:szCs w:val="32"/>
        </w:rPr>
        <w:t>万元，其中人员经费</w:t>
      </w:r>
      <w:r>
        <w:rPr>
          <w:rFonts w:hint="eastAsia" w:ascii="Times New Roman" w:hAnsi="Times New Roman" w:eastAsia="仿宋_GB2312" w:cs="Times New Roman"/>
          <w:sz w:val="32"/>
          <w:szCs w:val="32"/>
          <w:lang w:val="en-US" w:eastAsia="zh-CN"/>
        </w:rPr>
        <w:t>770.14</w:t>
      </w:r>
      <w:r>
        <w:rPr>
          <w:rFonts w:hint="eastAsia" w:ascii="Times New Roman" w:hAnsi="Times New Roman" w:eastAsia="仿宋_GB2312" w:cs="Times New Roman"/>
          <w:sz w:val="32"/>
          <w:szCs w:val="32"/>
        </w:rPr>
        <w:t>万元，包括：工资福利支出</w:t>
      </w:r>
      <w:r>
        <w:rPr>
          <w:rFonts w:hint="eastAsia" w:ascii="Times New Roman" w:hAnsi="Times New Roman" w:eastAsia="仿宋_GB2312" w:cs="Times New Roman"/>
          <w:sz w:val="32"/>
          <w:szCs w:val="32"/>
          <w:lang w:val="en-US" w:eastAsia="zh-CN"/>
        </w:rPr>
        <w:t>666.62</w:t>
      </w:r>
      <w:r>
        <w:rPr>
          <w:rFonts w:hint="eastAsia" w:ascii="Times New Roman" w:hAnsi="Times New Roman" w:eastAsia="仿宋_GB2312" w:cs="Times New Roman"/>
          <w:sz w:val="32"/>
          <w:szCs w:val="32"/>
        </w:rPr>
        <w:t>万元；对个人和家庭的补助</w:t>
      </w:r>
      <w:r>
        <w:rPr>
          <w:rFonts w:hint="eastAsia" w:ascii="Times New Roman" w:hAnsi="Times New Roman" w:eastAsia="仿宋_GB2312" w:cs="Times New Roman"/>
          <w:sz w:val="32"/>
          <w:szCs w:val="32"/>
          <w:lang w:val="en-US" w:eastAsia="zh-CN"/>
        </w:rPr>
        <w:t>103.52</w:t>
      </w:r>
      <w:r>
        <w:rPr>
          <w:rFonts w:hint="eastAsia" w:ascii="Times New Roman" w:hAnsi="Times New Roman" w:eastAsia="仿宋_GB2312" w:cs="Times New Roman"/>
          <w:sz w:val="32"/>
          <w:szCs w:val="32"/>
        </w:rPr>
        <w:t>万元；公用经费</w:t>
      </w:r>
      <w:r>
        <w:rPr>
          <w:rFonts w:hint="eastAsia" w:ascii="Times New Roman" w:hAnsi="Times New Roman" w:eastAsia="仿宋_GB2312" w:cs="Times New Roman"/>
          <w:sz w:val="32"/>
          <w:szCs w:val="32"/>
          <w:lang w:val="en-US" w:eastAsia="zh-CN"/>
        </w:rPr>
        <w:t>60.15</w:t>
      </w:r>
      <w:r>
        <w:rPr>
          <w:rFonts w:hint="eastAsia" w:ascii="Times New Roman" w:hAnsi="Times New Roman" w:eastAsia="仿宋_GB2312" w:cs="Times New Roman"/>
          <w:sz w:val="32"/>
          <w:szCs w:val="32"/>
        </w:rPr>
        <w:t>万元，包括：商品和服务支出</w:t>
      </w:r>
      <w:r>
        <w:rPr>
          <w:rFonts w:hint="eastAsia" w:ascii="Times New Roman" w:hAnsi="Times New Roman" w:eastAsia="仿宋_GB2312" w:cs="Times New Roman"/>
          <w:sz w:val="32"/>
          <w:szCs w:val="32"/>
          <w:lang w:val="en-US" w:eastAsia="zh-CN"/>
        </w:rPr>
        <w:t>53.37</w:t>
      </w:r>
      <w:r>
        <w:rPr>
          <w:rFonts w:hint="eastAsia" w:ascii="Times New Roman" w:hAnsi="Times New Roman" w:eastAsia="仿宋_GB2312" w:cs="Times New Roman"/>
          <w:sz w:val="32"/>
          <w:szCs w:val="32"/>
        </w:rPr>
        <w:t>万元，其他资本性支出</w:t>
      </w:r>
      <w:r>
        <w:rPr>
          <w:rFonts w:hint="eastAsia" w:ascii="Times New Roman" w:hAnsi="Times New Roman" w:eastAsia="仿宋_GB2312" w:cs="Times New Roman"/>
          <w:sz w:val="32"/>
          <w:szCs w:val="32"/>
          <w:lang w:val="en-US" w:eastAsia="zh-CN"/>
        </w:rPr>
        <w:t>6.78</w:t>
      </w:r>
      <w:r>
        <w:rPr>
          <w:rFonts w:hint="eastAsia" w:ascii="Times New Roman" w:hAnsi="Times New Roman" w:eastAsia="仿宋_GB2312" w:cs="Times New Roman"/>
          <w:sz w:val="32"/>
          <w:szCs w:val="32"/>
        </w:rPr>
        <w:t>万元，其他支出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p>
    <w:p>
      <w:pPr>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一般公共预算</w:t>
      </w:r>
      <w:r>
        <w:rPr>
          <w:rFonts w:hint="eastAsia" w:ascii="Times New Roman" w:hAnsi="Times New Roman" w:eastAsia="黑体" w:cs="Times New Roman"/>
          <w:sz w:val="32"/>
          <w:szCs w:val="32"/>
        </w:rPr>
        <w:t>财政拨款</w:t>
      </w:r>
      <w:r>
        <w:rPr>
          <w:rFonts w:ascii="Times New Roman" w:hAnsi="Times New Roman" w:eastAsia="黑体" w:cs="Times New Roman"/>
          <w:sz w:val="32"/>
          <w:szCs w:val="32"/>
        </w:rPr>
        <w:t>“三公”经费</w:t>
      </w:r>
      <w:r>
        <w:rPr>
          <w:rFonts w:hint="eastAsia" w:ascii="Times New Roman" w:hAnsi="Times New Roman" w:eastAsia="黑体" w:cs="Times New Roman"/>
          <w:sz w:val="32"/>
          <w:szCs w:val="32"/>
        </w:rPr>
        <w:t>支出决算</w:t>
      </w:r>
      <w:r>
        <w:rPr>
          <w:rFonts w:ascii="Times New Roman" w:hAnsi="Times New Roman" w:eastAsia="黑体" w:cs="Times New Roman"/>
          <w:sz w:val="32"/>
          <w:szCs w:val="32"/>
        </w:rPr>
        <w:t>情况说明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（一）“三公”经费一般公共预算财政拨款支出决算总体情况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本部门2016年度“三公”经费一般公共预算财政拨款支出预算为</w:t>
      </w:r>
      <w:r>
        <w:rPr>
          <w:rFonts w:hint="eastAsia" w:ascii="仿宋_GB2312" w:hAnsi="Times New Roman" w:eastAsia="仿宋_GB2312" w:cs="Times New Roman"/>
          <w:sz w:val="32"/>
          <w:szCs w:val="32"/>
          <w:lang w:val="en-US" w:eastAsia="zh-CN"/>
        </w:rPr>
        <w:t>12.72</w:t>
      </w:r>
      <w:r>
        <w:rPr>
          <w:rFonts w:hint="eastAsia" w:ascii="仿宋_GB2312" w:hAnsi="Times New Roman" w:eastAsia="仿宋_GB2312" w:cs="Times New Roman"/>
          <w:sz w:val="32"/>
          <w:szCs w:val="32"/>
        </w:rPr>
        <w:t>万元，支出决算为</w:t>
      </w:r>
      <w:r>
        <w:rPr>
          <w:rFonts w:hint="eastAsia" w:ascii="仿宋_GB2312" w:hAnsi="Times New Roman" w:eastAsia="仿宋_GB2312" w:cs="Times New Roman"/>
          <w:sz w:val="32"/>
          <w:szCs w:val="32"/>
          <w:lang w:val="en-US" w:eastAsia="zh-CN"/>
        </w:rPr>
        <w:t>6.14</w:t>
      </w:r>
      <w:r>
        <w:rPr>
          <w:rFonts w:hint="eastAsia" w:ascii="仿宋_GB2312" w:hAnsi="Times New Roman" w:eastAsia="仿宋_GB2312" w:cs="Times New Roman"/>
          <w:sz w:val="32"/>
          <w:szCs w:val="32"/>
        </w:rPr>
        <w:t>万元，完成预算的</w:t>
      </w:r>
      <w:r>
        <w:rPr>
          <w:rFonts w:hint="eastAsia" w:ascii="仿宋_GB2312" w:hAnsi="Times New Roman" w:eastAsia="仿宋_GB2312" w:cs="Times New Roman"/>
          <w:sz w:val="32"/>
          <w:szCs w:val="32"/>
          <w:lang w:val="en-US" w:eastAsia="zh-CN"/>
        </w:rPr>
        <w:t>48</w:t>
      </w:r>
      <w:r>
        <w:rPr>
          <w:rFonts w:hint="eastAsia" w:ascii="仿宋_GB2312" w:hAnsi="Times New Roman" w:eastAsia="仿宋_GB2312" w:cs="Times New Roman"/>
          <w:sz w:val="32"/>
          <w:szCs w:val="32"/>
        </w:rPr>
        <w:t>%，其中：因公出国（境）费支出决算为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万元；公务用车购置费支出决算为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万元；公务用车运行维护费支出决算为</w:t>
      </w:r>
      <w:r>
        <w:rPr>
          <w:rFonts w:hint="eastAsia" w:ascii="仿宋_GB2312" w:hAnsi="Times New Roman" w:eastAsia="仿宋_GB2312" w:cs="Times New Roman"/>
          <w:sz w:val="32"/>
          <w:szCs w:val="32"/>
          <w:lang w:val="en-US" w:eastAsia="zh-CN"/>
        </w:rPr>
        <w:t>3.66</w:t>
      </w:r>
      <w:r>
        <w:rPr>
          <w:rFonts w:hint="eastAsia" w:ascii="仿宋_GB2312" w:hAnsi="Times New Roman" w:eastAsia="仿宋_GB2312" w:cs="Times New Roman"/>
          <w:sz w:val="32"/>
          <w:szCs w:val="32"/>
        </w:rPr>
        <w:t>万元，完成预算的</w:t>
      </w:r>
      <w:r>
        <w:rPr>
          <w:rFonts w:hint="eastAsia" w:ascii="仿宋_GB2312" w:hAnsi="Times New Roman" w:eastAsia="仿宋_GB2312" w:cs="Times New Roman"/>
          <w:sz w:val="32"/>
          <w:szCs w:val="32"/>
          <w:lang w:val="en-US" w:eastAsia="zh-CN"/>
        </w:rPr>
        <w:t>60</w:t>
      </w:r>
      <w:r>
        <w:rPr>
          <w:rFonts w:hint="eastAsia" w:ascii="仿宋_GB2312" w:hAnsi="Times New Roman" w:eastAsia="仿宋_GB2312" w:cs="Times New Roman"/>
          <w:sz w:val="32"/>
          <w:szCs w:val="32"/>
        </w:rPr>
        <w:t>%；公务接待费支出决算为</w:t>
      </w:r>
      <w:r>
        <w:rPr>
          <w:rFonts w:hint="eastAsia" w:ascii="仿宋_GB2312" w:hAnsi="Times New Roman" w:eastAsia="仿宋_GB2312" w:cs="Times New Roman"/>
          <w:sz w:val="32"/>
          <w:szCs w:val="32"/>
          <w:lang w:val="en-US" w:eastAsia="zh-CN"/>
        </w:rPr>
        <w:t>2.48</w:t>
      </w:r>
      <w:r>
        <w:rPr>
          <w:rFonts w:hint="eastAsia" w:ascii="仿宋_GB2312" w:hAnsi="Times New Roman" w:eastAsia="仿宋_GB2312" w:cs="Times New Roman"/>
          <w:sz w:val="32"/>
          <w:szCs w:val="32"/>
        </w:rPr>
        <w:t>万元，完成预算的</w:t>
      </w:r>
      <w:r>
        <w:rPr>
          <w:rFonts w:hint="eastAsia" w:ascii="仿宋_GB2312" w:hAnsi="Times New Roman" w:eastAsia="仿宋_GB2312" w:cs="Times New Roman"/>
          <w:sz w:val="32"/>
          <w:szCs w:val="32"/>
          <w:lang w:val="en-US" w:eastAsia="zh-CN"/>
        </w:rPr>
        <w:t>38</w:t>
      </w:r>
      <w:r>
        <w:rPr>
          <w:rFonts w:hint="eastAsia" w:ascii="仿宋_GB2312" w:hAnsi="Times New Roman" w:eastAsia="仿宋_GB2312" w:cs="Times New Roman"/>
          <w:sz w:val="32"/>
          <w:szCs w:val="32"/>
        </w:rPr>
        <w:t>%。2016年度“三公”经费一般公共预算财政拨款支出决算数少于预算数的主要原因是：</w:t>
      </w:r>
      <w:r>
        <w:rPr>
          <w:rFonts w:hint="eastAsia" w:ascii="仿宋_GB2312" w:hAnsi="Times New Roman" w:eastAsia="仿宋_GB2312"/>
          <w:sz w:val="32"/>
          <w:szCs w:val="32"/>
        </w:rPr>
        <w:t>来访人数及接待人数减少</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本部门2016年度“三公”经费一般公共预算财政拨款支出决算数比2015年减少</w:t>
      </w:r>
      <w:r>
        <w:rPr>
          <w:rFonts w:hint="eastAsia" w:ascii="仿宋_GB2312" w:hAnsi="Times New Roman" w:eastAsia="仿宋_GB2312" w:cs="Times New Roman"/>
          <w:sz w:val="32"/>
          <w:szCs w:val="32"/>
          <w:lang w:val="en-US" w:eastAsia="zh-CN"/>
        </w:rPr>
        <w:t>0.65</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%，其中：</w:t>
      </w:r>
      <w:r>
        <w:rPr>
          <w:rFonts w:hint="eastAsia" w:ascii="仿宋_GB2312" w:hAnsi="Times New Roman" w:eastAsia="仿宋_GB2312" w:cs="Times New Roman"/>
          <w:sz w:val="32"/>
          <w:szCs w:val="32"/>
          <w:lang w:eastAsia="zh-CN"/>
        </w:rPr>
        <w:t>没有</w:t>
      </w:r>
      <w:r>
        <w:rPr>
          <w:rFonts w:hint="eastAsia" w:ascii="仿宋_GB2312" w:hAnsi="Times New Roman" w:eastAsia="仿宋_GB2312" w:cs="Times New Roman"/>
          <w:sz w:val="32"/>
          <w:szCs w:val="32"/>
        </w:rPr>
        <w:t>因公出国（境）费支出；</w:t>
      </w:r>
      <w:r>
        <w:rPr>
          <w:rFonts w:hint="eastAsia" w:ascii="仿宋_GB2312" w:hAnsi="Times New Roman" w:eastAsia="仿宋_GB2312" w:cs="Times New Roman"/>
          <w:sz w:val="32"/>
          <w:szCs w:val="32"/>
          <w:lang w:eastAsia="zh-CN"/>
        </w:rPr>
        <w:t>没有</w:t>
      </w:r>
      <w:r>
        <w:rPr>
          <w:rFonts w:hint="eastAsia" w:ascii="仿宋_GB2312" w:hAnsi="Times New Roman" w:eastAsia="仿宋_GB2312" w:cs="Times New Roman"/>
          <w:sz w:val="32"/>
          <w:szCs w:val="32"/>
        </w:rPr>
        <w:t>公务用车购置费支出；公务用车运行维护费支出决算</w:t>
      </w:r>
      <w:r>
        <w:rPr>
          <w:rFonts w:hint="eastAsia" w:ascii="仿宋_GB2312" w:hAnsi="Times New Roman" w:eastAsia="仿宋_GB2312" w:cs="Times New Roman"/>
          <w:sz w:val="32"/>
          <w:szCs w:val="32"/>
          <w:lang w:eastAsia="zh-CN"/>
        </w:rPr>
        <w:t>增加</w:t>
      </w:r>
      <w:r>
        <w:rPr>
          <w:rFonts w:hint="eastAsia" w:ascii="仿宋_GB2312" w:hAnsi="Times New Roman" w:eastAsia="仿宋_GB2312" w:cs="Times New Roman"/>
          <w:sz w:val="32"/>
          <w:szCs w:val="32"/>
          <w:lang w:val="en-US" w:eastAsia="zh-CN"/>
        </w:rPr>
        <w:t>1.06</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增长</w:t>
      </w:r>
      <w:r>
        <w:rPr>
          <w:rFonts w:hint="eastAsia" w:ascii="仿宋_GB2312" w:hAnsi="Times New Roman" w:eastAsia="仿宋_GB2312" w:cs="Times New Roman"/>
          <w:sz w:val="32"/>
          <w:szCs w:val="32"/>
          <w:lang w:val="en-US" w:eastAsia="zh-CN"/>
        </w:rPr>
        <w:t>41</w:t>
      </w:r>
      <w:r>
        <w:rPr>
          <w:rFonts w:hint="eastAsia" w:ascii="仿宋_GB2312" w:hAnsi="Times New Roman" w:eastAsia="仿宋_GB2312" w:cs="Times New Roman"/>
          <w:sz w:val="32"/>
          <w:szCs w:val="32"/>
        </w:rPr>
        <w:t>%；公务接待费支出决算减</w:t>
      </w:r>
      <w:r>
        <w:rPr>
          <w:rFonts w:hint="eastAsia" w:ascii="仿宋_GB2312" w:hAnsi="Times New Roman" w:eastAsia="仿宋_GB2312" w:cs="Times New Roman"/>
          <w:sz w:val="32"/>
          <w:szCs w:val="32"/>
          <w:lang w:eastAsia="zh-CN"/>
        </w:rPr>
        <w:t>少</w:t>
      </w:r>
      <w:r>
        <w:rPr>
          <w:rFonts w:hint="eastAsia" w:ascii="仿宋_GB2312" w:hAnsi="Times New Roman" w:eastAsia="仿宋_GB2312" w:cs="Times New Roman"/>
          <w:sz w:val="32"/>
          <w:szCs w:val="32"/>
          <w:lang w:val="en-US" w:eastAsia="zh-CN"/>
        </w:rPr>
        <w:t>1.71</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41%</w:t>
      </w:r>
      <w:r>
        <w:rPr>
          <w:rFonts w:hint="eastAsia" w:ascii="仿宋_GB2312" w:hAnsi="Times New Roman" w:eastAsia="仿宋_GB2312" w:cs="Times New Roman"/>
          <w:sz w:val="32"/>
          <w:szCs w:val="32"/>
        </w:rPr>
        <w:t>。2016年度“三公”经费一般公共预算财政拨款支出决算数较2015年减少的主要原因是：</w:t>
      </w:r>
      <w:r>
        <w:rPr>
          <w:rFonts w:hint="eastAsia" w:ascii="仿宋_GB2312" w:hAnsi="Times New Roman" w:eastAsia="仿宋_GB2312"/>
          <w:sz w:val="32"/>
          <w:szCs w:val="32"/>
        </w:rPr>
        <w:t>来访人数及接待人数减少，</w:t>
      </w:r>
      <w:r>
        <w:rPr>
          <w:rFonts w:hint="eastAsia" w:ascii="仿宋_GB2312" w:hAnsi="Times New Roman" w:eastAsia="仿宋_GB2312"/>
          <w:sz w:val="32"/>
          <w:szCs w:val="32"/>
          <w:lang w:eastAsia="zh-CN"/>
        </w:rPr>
        <w:t>公车年份已久，维护成本高</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（二）“三公”经费一般公共预算财政拨款支出决算具体情况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2016年，本部门“三公”经费一般公共预算财政拨款支出合计</w:t>
      </w:r>
      <w:r>
        <w:rPr>
          <w:rFonts w:hint="eastAsia" w:ascii="仿宋_GB2312" w:hAnsi="Times New Roman" w:eastAsia="仿宋_GB2312" w:cs="Times New Roman"/>
          <w:sz w:val="32"/>
          <w:szCs w:val="32"/>
          <w:lang w:val="en-US" w:eastAsia="zh-CN"/>
        </w:rPr>
        <w:t>6.14</w:t>
      </w:r>
      <w:r>
        <w:rPr>
          <w:rFonts w:hint="eastAsia" w:ascii="仿宋_GB2312" w:hAnsi="Times New Roman" w:eastAsia="仿宋_GB2312" w:cs="Times New Roman"/>
          <w:sz w:val="32"/>
          <w:szCs w:val="32"/>
        </w:rPr>
        <w:t>万元，其中：</w:t>
      </w:r>
    </w:p>
    <w:p>
      <w:pPr>
        <w:spacing w:line="6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1.因公出国（境）费支出</w:t>
      </w:r>
      <w:r>
        <w:rPr>
          <w:rFonts w:hint="eastAsia" w:ascii="仿宋_GB2312" w:hAnsi="Times New Roman" w:eastAsia="仿宋_GB2312" w:cs="Times New Roman"/>
          <w:sz w:val="32"/>
          <w:szCs w:val="32"/>
          <w:lang w:val="en-US" w:eastAsia="zh-CN"/>
        </w:rPr>
        <w:t>0万元</w:t>
      </w:r>
      <w:r>
        <w:rPr>
          <w:rFonts w:hint="eastAsia" w:ascii="仿宋_GB2312" w:hAnsi="Times New Roman" w:eastAsia="仿宋_GB2312" w:cs="Times New Roman"/>
          <w:sz w:val="32"/>
          <w:szCs w:val="32"/>
        </w:rPr>
        <w:t>。</w:t>
      </w:r>
    </w:p>
    <w:p>
      <w:pPr>
        <w:spacing w:line="6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2.公务用车购置费支出</w:t>
      </w:r>
      <w:r>
        <w:rPr>
          <w:rFonts w:hint="eastAsia" w:ascii="仿宋_GB2312" w:hAnsi="Times New Roman" w:eastAsia="仿宋_GB2312" w:cs="Times New Roman"/>
          <w:sz w:val="32"/>
          <w:szCs w:val="32"/>
          <w:lang w:val="en-US" w:eastAsia="zh-CN"/>
        </w:rPr>
        <w:t>0万元</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3.公务用车运行维护费支出</w:t>
      </w:r>
      <w:r>
        <w:rPr>
          <w:rFonts w:hint="eastAsia" w:ascii="仿宋_GB2312" w:hAnsi="Times New Roman" w:eastAsia="仿宋_GB2312" w:cs="Times New Roman"/>
          <w:sz w:val="32"/>
          <w:szCs w:val="32"/>
          <w:lang w:val="en-US" w:eastAsia="zh-CN"/>
        </w:rPr>
        <w:t>3.66</w:t>
      </w:r>
      <w:r>
        <w:rPr>
          <w:rFonts w:hint="eastAsia" w:ascii="仿宋_GB2312" w:hAnsi="Times New Roman" w:eastAsia="仿宋_GB2312" w:cs="Times New Roman"/>
          <w:sz w:val="32"/>
          <w:szCs w:val="32"/>
        </w:rPr>
        <w:t>万元，比2016年预算减少</w:t>
      </w:r>
      <w:r>
        <w:rPr>
          <w:rFonts w:hint="eastAsia" w:ascii="仿宋_GB2312" w:hAnsi="Times New Roman" w:eastAsia="仿宋_GB2312" w:cs="Times New Roman"/>
          <w:sz w:val="32"/>
          <w:szCs w:val="32"/>
          <w:lang w:val="en-US" w:eastAsia="zh-CN"/>
        </w:rPr>
        <w:t>2.46</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40</w:t>
      </w:r>
      <w:r>
        <w:rPr>
          <w:rFonts w:hint="eastAsia" w:ascii="仿宋_GB2312" w:hAnsi="Times New Roman" w:eastAsia="仿宋_GB2312" w:cs="Times New Roman"/>
          <w:sz w:val="32"/>
          <w:szCs w:val="32"/>
        </w:rPr>
        <w:t>%。截至2016年底，本单位公务用车保有量</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4.公务接待费支出</w:t>
      </w:r>
      <w:r>
        <w:rPr>
          <w:rFonts w:hint="eastAsia" w:ascii="仿宋_GB2312" w:hAnsi="Times New Roman" w:eastAsia="仿宋_GB2312" w:cs="Times New Roman"/>
          <w:sz w:val="32"/>
          <w:szCs w:val="32"/>
          <w:lang w:val="en-US" w:eastAsia="zh-CN"/>
        </w:rPr>
        <w:t>2.48</w:t>
      </w:r>
      <w:r>
        <w:rPr>
          <w:rFonts w:hint="eastAsia" w:ascii="仿宋_GB2312" w:hAnsi="Times New Roman" w:eastAsia="仿宋_GB2312" w:cs="Times New Roman"/>
          <w:sz w:val="32"/>
          <w:szCs w:val="32"/>
        </w:rPr>
        <w:t>万元，比2016年预算减少</w:t>
      </w:r>
      <w:r>
        <w:rPr>
          <w:rFonts w:hint="eastAsia" w:ascii="仿宋_GB2312" w:hAnsi="Times New Roman" w:eastAsia="仿宋_GB2312" w:cs="Times New Roman"/>
          <w:sz w:val="32"/>
          <w:szCs w:val="32"/>
          <w:lang w:val="en-US" w:eastAsia="zh-CN"/>
        </w:rPr>
        <w:t>4.12</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62</w:t>
      </w:r>
      <w:r>
        <w:rPr>
          <w:rFonts w:hint="eastAsia" w:ascii="仿宋_GB2312" w:hAnsi="Times New Roman" w:eastAsia="仿宋_GB2312" w:cs="Times New Roman"/>
          <w:sz w:val="32"/>
          <w:szCs w:val="32"/>
        </w:rPr>
        <w:t>%。全年共接待</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批次、</w:t>
      </w:r>
      <w:r>
        <w:rPr>
          <w:rFonts w:hint="eastAsia" w:ascii="仿宋_GB2312" w:hAnsi="Times New Roman" w:eastAsia="仿宋_GB2312" w:cs="Times New Roman"/>
          <w:sz w:val="32"/>
          <w:szCs w:val="32"/>
          <w:lang w:val="en-US" w:eastAsia="zh-CN"/>
        </w:rPr>
        <w:t>166</w:t>
      </w:r>
      <w:r>
        <w:rPr>
          <w:rFonts w:hint="eastAsia" w:ascii="仿宋_GB2312" w:hAnsi="Times New Roman" w:eastAsia="仿宋_GB2312" w:cs="Times New Roman"/>
          <w:sz w:val="32"/>
          <w:szCs w:val="32"/>
        </w:rPr>
        <w:t>人次。</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八、政府性基金预算财政拨款收支决算情况说明</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本部门2016年度</w:t>
      </w:r>
      <w:r>
        <w:rPr>
          <w:rFonts w:hint="eastAsia" w:ascii="仿宋_GB2312" w:hAnsi="Times New Roman" w:eastAsia="仿宋_GB2312" w:cs="Times New Roman"/>
          <w:sz w:val="32"/>
          <w:szCs w:val="32"/>
          <w:lang w:eastAsia="zh-CN"/>
        </w:rPr>
        <w:t>没有</w:t>
      </w:r>
      <w:r>
        <w:rPr>
          <w:rFonts w:hint="eastAsia" w:ascii="仿宋_GB2312" w:hAnsi="Times New Roman" w:eastAsia="仿宋_GB2312" w:cs="Times New Roman"/>
          <w:sz w:val="32"/>
          <w:szCs w:val="32"/>
        </w:rPr>
        <w:t>政府性基金预算财政拨款</w:t>
      </w:r>
      <w:r>
        <w:rPr>
          <w:rFonts w:hint="eastAsia" w:ascii="仿宋_GB2312" w:hAnsi="Times New Roman" w:eastAsia="仿宋_GB2312" w:cs="Times New Roman"/>
          <w:sz w:val="32"/>
          <w:szCs w:val="32"/>
          <w:lang w:eastAsia="zh-CN"/>
        </w:rPr>
        <w:t>。</w:t>
      </w:r>
    </w:p>
    <w:p>
      <w:pPr>
        <w:ind w:firstLine="640" w:firstLineChars="200"/>
        <w:rPr>
          <w:rFonts w:hint="eastAsia" w:ascii="仿宋_GB2312" w:hAnsi="Times New Roman" w:eastAsia="仿宋_GB2312" w:cs="Times New Roman"/>
          <w:sz w:val="32"/>
          <w:szCs w:val="32"/>
          <w:lang w:eastAsia="zh-CN"/>
        </w:rPr>
      </w:pPr>
      <w:r>
        <w:rPr>
          <w:rFonts w:hint="eastAsia" w:ascii="Times New Roman" w:hAnsi="Times New Roman" w:eastAsia="黑体" w:cs="Times New Roman"/>
          <w:sz w:val="32"/>
          <w:szCs w:val="32"/>
        </w:rPr>
        <w:t>九、其他重要事项的情况说明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一</w:t>
      </w:r>
      <w:r>
        <w:rPr>
          <w:rFonts w:hint="eastAsia" w:ascii="仿宋_GB2312" w:hAnsi="Times New Roman" w:eastAsia="仿宋_GB2312" w:cs="Times New Roman"/>
          <w:sz w:val="32"/>
          <w:szCs w:val="32"/>
        </w:rPr>
        <w:t>）国有资产占用情况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截止2016年底，本部门共有车辆</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辆，</w:t>
      </w: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一般公务用车。单位价值50万元以上通用设备</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台（套），单位价值100万元以上专用设备</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台（套）。</w:t>
      </w:r>
    </w:p>
    <w:p>
      <w:pPr>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（三）政府采购支出情</w:t>
      </w:r>
      <w:r>
        <w:rPr>
          <w:rFonts w:hint="eastAsia" w:ascii="Times New Roman" w:hAnsi="Times New Roman" w:eastAsia="仿宋_GB2312" w:cs="Times New Roman"/>
          <w:sz w:val="32"/>
          <w:szCs w:val="32"/>
        </w:rPr>
        <w:t>况</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2016年，部门本级的政府采购支出总额</w:t>
      </w:r>
      <w:r>
        <w:rPr>
          <w:rFonts w:hint="eastAsia" w:ascii="仿宋_GB2312" w:hAnsi="Times New Roman" w:eastAsia="仿宋_GB2312" w:cs="Times New Roman"/>
          <w:sz w:val="32"/>
          <w:szCs w:val="32"/>
          <w:lang w:val="en-US" w:eastAsia="zh-CN"/>
        </w:rPr>
        <w:t>121.39</w:t>
      </w:r>
      <w:r>
        <w:rPr>
          <w:rFonts w:hint="eastAsia" w:ascii="仿宋_GB2312" w:hAnsi="Times New Roman" w:eastAsia="仿宋_GB2312" w:cs="Times New Roman"/>
          <w:sz w:val="32"/>
          <w:szCs w:val="32"/>
        </w:rPr>
        <w:t>万元，其中：政府采购货物支出</w:t>
      </w:r>
      <w:r>
        <w:rPr>
          <w:rFonts w:hint="eastAsia" w:ascii="仿宋_GB2312" w:hAnsi="Times New Roman" w:eastAsia="仿宋_GB2312" w:cs="Times New Roman"/>
          <w:sz w:val="32"/>
          <w:szCs w:val="32"/>
          <w:lang w:val="en-US" w:eastAsia="zh-CN"/>
        </w:rPr>
        <w:t>63.28</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52</w:t>
      </w:r>
      <w:r>
        <w:rPr>
          <w:rFonts w:hint="eastAsia" w:ascii="仿宋_GB2312" w:hAnsi="Times New Roman" w:eastAsia="仿宋_GB2312" w:cs="Times New Roman"/>
          <w:sz w:val="32"/>
          <w:szCs w:val="32"/>
        </w:rPr>
        <w:t>%；政府采购服务支出</w:t>
      </w:r>
      <w:r>
        <w:rPr>
          <w:rFonts w:hint="eastAsia" w:ascii="仿宋_GB2312" w:hAnsi="Times New Roman" w:eastAsia="仿宋_GB2312" w:cs="Times New Roman"/>
          <w:sz w:val="32"/>
          <w:szCs w:val="32"/>
          <w:lang w:val="en-US" w:eastAsia="zh-CN"/>
        </w:rPr>
        <w:t>58.11</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48</w:t>
      </w:r>
      <w:r>
        <w:rPr>
          <w:rFonts w:hint="eastAsia" w:ascii="仿宋_GB2312" w:hAnsi="Times New Roman" w:eastAsia="仿宋_GB2312" w:cs="Times New Roman"/>
          <w:sz w:val="32"/>
          <w:szCs w:val="32"/>
        </w:rPr>
        <w:t>%。授予中小企业合同金额</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万元，其中：授予小微企业合同金额</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（四）预算绩效管理工作开展情况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本部门2016年部门决算进行预算绩效评价的民生项目和重点支出项目</w:t>
      </w:r>
      <w:r>
        <w:rPr>
          <w:rFonts w:hint="eastAsia" w:ascii="仿宋_GB2312" w:hAnsi="Times New Roman" w:eastAsia="仿宋_GB2312" w:cs="Times New Roman"/>
          <w:sz w:val="32"/>
          <w:szCs w:val="32"/>
          <w:lang w:val="en-US" w:eastAsia="zh-CN"/>
        </w:rPr>
        <w:t>0个，涉及当年财政拨款资金0万元</w:t>
      </w:r>
      <w:r>
        <w:rPr>
          <w:rFonts w:hint="eastAsia" w:ascii="仿宋_GB2312" w:hAnsi="Times New Roman" w:eastAsia="仿宋_GB2312" w:cs="Times New Roman"/>
          <w:sz w:val="32"/>
          <w:szCs w:val="32"/>
        </w:rPr>
        <w:t>。</w:t>
      </w: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第四部分  专业名词解释</w:t>
      </w:r>
    </w:p>
    <w:p>
      <w:pPr>
        <w:ind w:firstLine="640" w:firstLineChars="200"/>
        <w:rPr>
          <w:rFonts w:ascii="仿宋_GB2312" w:hAnsi="Times New Roman" w:eastAsia="仿宋_GB2312" w:cs="Times New Roman"/>
          <w:sz w:val="32"/>
          <w:szCs w:val="32"/>
        </w:rPr>
      </w:pPr>
      <w:bookmarkStart w:id="0" w:name="4"/>
      <w:r>
        <w:rPr>
          <w:rFonts w:ascii="仿宋_GB2312" w:hAnsi="Times New Roman" w:eastAsia="仿宋_GB2312" w:cs="Times New Roman"/>
          <w:sz w:val="32"/>
          <w:szCs w:val="32"/>
        </w:rPr>
        <w:t>财政拨款收入：指</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财政当年拨付的资金。</w:t>
      </w:r>
      <w:bookmarkEnd w:id="0"/>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事业收入：指事业单位开展专业业务活动及辅助活动所取得的收入。</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其他收入：指除上述</w:t>
      </w:r>
      <w:r>
        <w:rPr>
          <w:rFonts w:hint="eastAsia" w:ascii="仿宋_GB2312" w:hAnsi="Times New Roman" w:eastAsia="仿宋_GB2312" w:cs="Times New Roman"/>
          <w:sz w:val="32"/>
          <w:szCs w:val="32"/>
        </w:rPr>
        <w:t>“财政拨款收入”、“事业收入”等</w:t>
      </w:r>
      <w:r>
        <w:rPr>
          <w:rFonts w:ascii="仿宋_GB2312" w:hAnsi="Times New Roman" w:eastAsia="仿宋_GB2312" w:cs="Times New Roman"/>
          <w:sz w:val="32"/>
          <w:szCs w:val="32"/>
        </w:rPr>
        <w:t>以外的收入。</w:t>
      </w:r>
      <w:r>
        <w:rPr>
          <w:rFonts w:hint="eastAsia" w:ascii="仿宋_GB2312" w:hAnsi="Times New Roman" w:eastAsia="仿宋_GB2312" w:cs="Times New Roman"/>
          <w:sz w:val="32"/>
          <w:szCs w:val="32"/>
        </w:rPr>
        <w:t>主要是银行</w:t>
      </w:r>
      <w:r>
        <w:rPr>
          <w:rFonts w:ascii="仿宋_GB2312" w:hAnsi="Times New Roman" w:eastAsia="仿宋_GB2312" w:cs="Times New Roman"/>
          <w:sz w:val="32"/>
          <w:szCs w:val="32"/>
        </w:rPr>
        <w:t>存款利息收入等。</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用事业基金弥补收支差额：指事业单位在当年的</w:t>
      </w:r>
      <w:r>
        <w:rPr>
          <w:rFonts w:hint="eastAsia" w:ascii="仿宋_GB2312" w:hAnsi="Times New Roman" w:eastAsia="仿宋_GB2312" w:cs="Times New Roman"/>
          <w:sz w:val="32"/>
          <w:szCs w:val="32"/>
        </w:rPr>
        <w:t>“财政拨款收入”、“事业收入”、“经营收入”、“其他收入”</w:t>
      </w:r>
      <w:r>
        <w:rPr>
          <w:rFonts w:ascii="仿宋_GB2312" w:hAnsi="Times New Roman" w:eastAsia="仿宋_GB2312" w:cs="Times New Roman"/>
          <w:sz w:val="32"/>
          <w:szCs w:val="32"/>
        </w:rPr>
        <w:t>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w:t>
      </w:r>
      <w:r>
        <w:rPr>
          <w:rFonts w:ascii="仿宋_GB2312" w:hAnsi="Times New Roman" w:eastAsia="仿宋_GB2312" w:cs="Times New Roman"/>
          <w:sz w:val="32"/>
          <w:szCs w:val="32"/>
        </w:rPr>
        <w:t>结转和结余：指以前年度尚未完成、结转到本年按有关规定继续使用的资金。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结余分配：指事业单位按规定提取的职工福利基金、事业基金和缴纳的所得税，以及建设单位按规定应交回的基本建设竣工项目结余资金。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年末结转和结余：指本年度或以前年度预算安排、因客观条件发生变化无法按原计划实施，需要延迟到以后年度按有关规定继续使用的资金。</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基本支出：指为保障机构正常运转、完成日常工作任务而发生的人员支出和公用支出。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项目支出：指在基本支出之外为完成特定行政任务和事业发展目标所发生的支出</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三公</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经费：</w:t>
      </w:r>
      <w:r>
        <w:rPr>
          <w:rFonts w:hint="eastAsia" w:ascii="仿宋_GB2312" w:hAnsi="Times New Roman" w:eastAsia="仿宋_GB2312" w:cs="Times New Roman"/>
          <w:sz w:val="32"/>
          <w:szCs w:val="32"/>
        </w:rPr>
        <w:t>纳入市财政预决算管理的“三公”经费，</w:t>
      </w:r>
      <w:r>
        <w:rPr>
          <w:rFonts w:ascii="仿宋_GB2312" w:hAnsi="Times New Roman" w:eastAsia="仿宋_GB2312" w:cs="Times New Roman"/>
          <w:sz w:val="32"/>
          <w:szCs w:val="32"/>
        </w:rPr>
        <w:t>是指本部门</w:t>
      </w:r>
      <w:r>
        <w:rPr>
          <w:rFonts w:hint="eastAsia" w:ascii="仿宋_GB2312" w:hAnsi="Times New Roman" w:eastAsia="仿宋_GB2312" w:cs="Times New Roman"/>
          <w:sz w:val="32"/>
          <w:szCs w:val="32"/>
        </w:rPr>
        <w:t>用</w:t>
      </w:r>
      <w:r>
        <w:rPr>
          <w:rFonts w:ascii="仿宋_GB2312" w:hAnsi="Times New Roman" w:eastAsia="仿宋_GB2312" w:cs="Times New Roman"/>
          <w:sz w:val="32"/>
          <w:szCs w:val="32"/>
        </w:rPr>
        <w:t>财政拨款安排的因公出国（境）费、公务用车购置及运行费和公务接待费。其中，因公出国（境）费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单位公务出国（境）的</w:t>
      </w:r>
      <w:r>
        <w:rPr>
          <w:rFonts w:hint="eastAsia" w:ascii="仿宋_GB2312" w:hAnsi="Times New Roman" w:eastAsia="仿宋_GB2312" w:cs="Times New Roman"/>
          <w:sz w:val="32"/>
          <w:szCs w:val="32"/>
        </w:rPr>
        <w:t>国际</w:t>
      </w:r>
      <w:r>
        <w:rPr>
          <w:rFonts w:ascii="仿宋_GB2312" w:hAnsi="Times New Roman" w:eastAsia="仿宋_GB2312" w:cs="Times New Roman"/>
          <w:sz w:val="32"/>
          <w:szCs w:val="32"/>
        </w:rPr>
        <w:t>旅费、</w:t>
      </w:r>
      <w:r>
        <w:rPr>
          <w:rFonts w:hint="eastAsia" w:ascii="仿宋_GB2312" w:hAnsi="Times New Roman" w:eastAsia="仿宋_GB2312" w:cs="Times New Roman"/>
          <w:sz w:val="32"/>
          <w:szCs w:val="32"/>
        </w:rPr>
        <w:t>国外城市间交通费、住宿费、伙食费、培训费、公杂费</w:t>
      </w:r>
      <w:r>
        <w:rPr>
          <w:rFonts w:ascii="仿宋_GB2312" w:hAnsi="Times New Roman" w:eastAsia="仿宋_GB2312" w:cs="Times New Roman"/>
          <w:sz w:val="32"/>
          <w:szCs w:val="32"/>
        </w:rPr>
        <w:t>等支出；公务用车购置及运行费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单位公务用车</w:t>
      </w:r>
      <w:r>
        <w:rPr>
          <w:rFonts w:hint="eastAsia" w:ascii="仿宋_GB2312" w:hAnsi="Times New Roman" w:eastAsia="仿宋_GB2312" w:cs="Times New Roman"/>
          <w:sz w:val="32"/>
          <w:szCs w:val="32"/>
        </w:rPr>
        <w:t>车辆</w:t>
      </w:r>
      <w:r>
        <w:rPr>
          <w:rFonts w:ascii="仿宋_GB2312" w:hAnsi="Times New Roman" w:eastAsia="仿宋_GB2312" w:cs="Times New Roman"/>
          <w:sz w:val="32"/>
          <w:szCs w:val="32"/>
        </w:rPr>
        <w:t>购置</w:t>
      </w:r>
      <w:r>
        <w:rPr>
          <w:rFonts w:hint="eastAsia" w:ascii="仿宋_GB2312" w:hAnsi="Times New Roman" w:eastAsia="仿宋_GB2312" w:cs="Times New Roman"/>
          <w:sz w:val="32"/>
          <w:szCs w:val="32"/>
        </w:rPr>
        <w:t>支出（含车辆购置税）</w:t>
      </w:r>
      <w:r>
        <w:rPr>
          <w:rFonts w:ascii="仿宋_GB2312" w:hAnsi="Times New Roman" w:eastAsia="仿宋_GB2312" w:cs="Times New Roman"/>
          <w:sz w:val="32"/>
          <w:szCs w:val="32"/>
        </w:rPr>
        <w:t>及租用费、燃料费、维修费、过路过桥费、保险费等支出；公务接待费指单位按规定开支的各类公务接待（含外宾接待）支出。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第三部分 2016年部门决算表</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详见</w:t>
      </w: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表1-8，请参见附件。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表号</w:t>
            </w:r>
          </w:p>
        </w:tc>
        <w:tc>
          <w:tcPr>
            <w:tcW w:w="6854"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决算表</w:t>
            </w:r>
            <w:r>
              <w:rPr>
                <w:rFonts w:ascii="Times New Roman" w:hAnsi="Times New Roman" w:eastAsia="仿宋_GB2312" w:cs="Times New Roman"/>
                <w:sz w:val="32"/>
                <w:szCs w:val="32"/>
              </w:rPr>
              <w:t>1</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表2</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表3</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表4</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表5</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一般公共预算财政拨款支出决算表（功能分类）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表6</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一般公共预算财政拨款支出决算表（经济分类）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表7</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表8</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政府性基金预算财政拨款收入支出决算表</w:t>
            </w:r>
          </w:p>
        </w:tc>
      </w:tr>
    </w:tbl>
    <w:p>
      <w:pPr>
        <w:ind w:firstLine="640" w:firstLineChars="200"/>
        <w:jc w:val="lef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436C"/>
    <w:multiLevelType w:val="singleLevel"/>
    <w:tmpl w:val="59BB436C"/>
    <w:lvl w:ilvl="0" w:tentative="0">
      <w:start w:val="2"/>
      <w:numFmt w:val="decimal"/>
      <w:suff w:val="nothing"/>
      <w:lvlText w:val="%1."/>
      <w:lvlJc w:val="left"/>
    </w:lvl>
  </w:abstractNum>
  <w:abstractNum w:abstractNumId="1">
    <w:nsid w:val="75CA15FC"/>
    <w:multiLevelType w:val="multilevel"/>
    <w:tmpl w:val="75CA15F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12"/>
    <w:rsid w:val="00091651"/>
    <w:rsid w:val="00092BBF"/>
    <w:rsid w:val="000D2D58"/>
    <w:rsid w:val="000D6C81"/>
    <w:rsid w:val="0010072A"/>
    <w:rsid w:val="00126B41"/>
    <w:rsid w:val="00147F6C"/>
    <w:rsid w:val="001519AD"/>
    <w:rsid w:val="00156ACC"/>
    <w:rsid w:val="0016144D"/>
    <w:rsid w:val="00180F1F"/>
    <w:rsid w:val="001B3AE2"/>
    <w:rsid w:val="001E60E3"/>
    <w:rsid w:val="00203959"/>
    <w:rsid w:val="00203E5A"/>
    <w:rsid w:val="00203FBC"/>
    <w:rsid w:val="00206079"/>
    <w:rsid w:val="00216625"/>
    <w:rsid w:val="00223738"/>
    <w:rsid w:val="002300D7"/>
    <w:rsid w:val="002538EB"/>
    <w:rsid w:val="00256189"/>
    <w:rsid w:val="00267C10"/>
    <w:rsid w:val="002800B8"/>
    <w:rsid w:val="0028792A"/>
    <w:rsid w:val="002B53BC"/>
    <w:rsid w:val="002B5CF3"/>
    <w:rsid w:val="002C5D86"/>
    <w:rsid w:val="002E7906"/>
    <w:rsid w:val="002F04EF"/>
    <w:rsid w:val="002F40BE"/>
    <w:rsid w:val="00306E6D"/>
    <w:rsid w:val="00326CB1"/>
    <w:rsid w:val="003402E4"/>
    <w:rsid w:val="00347B34"/>
    <w:rsid w:val="003809AC"/>
    <w:rsid w:val="00381456"/>
    <w:rsid w:val="00382412"/>
    <w:rsid w:val="00396871"/>
    <w:rsid w:val="003E2FD3"/>
    <w:rsid w:val="003F7791"/>
    <w:rsid w:val="0041378F"/>
    <w:rsid w:val="00451C48"/>
    <w:rsid w:val="00460DDF"/>
    <w:rsid w:val="00470393"/>
    <w:rsid w:val="004A1C5C"/>
    <w:rsid w:val="004A2B86"/>
    <w:rsid w:val="004C3683"/>
    <w:rsid w:val="004E37FD"/>
    <w:rsid w:val="005122A7"/>
    <w:rsid w:val="005156A2"/>
    <w:rsid w:val="00521DC7"/>
    <w:rsid w:val="00533352"/>
    <w:rsid w:val="00534E44"/>
    <w:rsid w:val="00550794"/>
    <w:rsid w:val="00555053"/>
    <w:rsid w:val="00592CE7"/>
    <w:rsid w:val="005A1783"/>
    <w:rsid w:val="005B0BEE"/>
    <w:rsid w:val="005C77BD"/>
    <w:rsid w:val="005D20FD"/>
    <w:rsid w:val="005E22B8"/>
    <w:rsid w:val="005F1CEA"/>
    <w:rsid w:val="006321E9"/>
    <w:rsid w:val="00645FE2"/>
    <w:rsid w:val="00647005"/>
    <w:rsid w:val="006641FD"/>
    <w:rsid w:val="00671B7E"/>
    <w:rsid w:val="00681FB1"/>
    <w:rsid w:val="006B03BF"/>
    <w:rsid w:val="006B541A"/>
    <w:rsid w:val="006E1431"/>
    <w:rsid w:val="00702D73"/>
    <w:rsid w:val="00712D1F"/>
    <w:rsid w:val="007171AD"/>
    <w:rsid w:val="00744C8D"/>
    <w:rsid w:val="007453FB"/>
    <w:rsid w:val="00751254"/>
    <w:rsid w:val="00753902"/>
    <w:rsid w:val="007822D5"/>
    <w:rsid w:val="007937E4"/>
    <w:rsid w:val="00794916"/>
    <w:rsid w:val="007D6330"/>
    <w:rsid w:val="007E292D"/>
    <w:rsid w:val="008206E1"/>
    <w:rsid w:val="008408EC"/>
    <w:rsid w:val="00883E5C"/>
    <w:rsid w:val="008903A2"/>
    <w:rsid w:val="008B4575"/>
    <w:rsid w:val="008B5636"/>
    <w:rsid w:val="008C4760"/>
    <w:rsid w:val="008C6D7B"/>
    <w:rsid w:val="008D1C3E"/>
    <w:rsid w:val="008D6AFE"/>
    <w:rsid w:val="008F10DB"/>
    <w:rsid w:val="008F6AEE"/>
    <w:rsid w:val="00900A36"/>
    <w:rsid w:val="00902728"/>
    <w:rsid w:val="00915EA7"/>
    <w:rsid w:val="00924C73"/>
    <w:rsid w:val="00924D44"/>
    <w:rsid w:val="00931EF3"/>
    <w:rsid w:val="00933F08"/>
    <w:rsid w:val="00960EE2"/>
    <w:rsid w:val="00966450"/>
    <w:rsid w:val="00970E9D"/>
    <w:rsid w:val="009804CA"/>
    <w:rsid w:val="0098143A"/>
    <w:rsid w:val="009917A3"/>
    <w:rsid w:val="009A1C21"/>
    <w:rsid w:val="009A3482"/>
    <w:rsid w:val="009B5280"/>
    <w:rsid w:val="009C339A"/>
    <w:rsid w:val="009D3A9E"/>
    <w:rsid w:val="00A03DEE"/>
    <w:rsid w:val="00A111B0"/>
    <w:rsid w:val="00A11A42"/>
    <w:rsid w:val="00A344E0"/>
    <w:rsid w:val="00A43237"/>
    <w:rsid w:val="00A7207A"/>
    <w:rsid w:val="00AA727A"/>
    <w:rsid w:val="00AB2D9F"/>
    <w:rsid w:val="00AB4A48"/>
    <w:rsid w:val="00AC6767"/>
    <w:rsid w:val="00AE21A3"/>
    <w:rsid w:val="00B071F5"/>
    <w:rsid w:val="00B112D6"/>
    <w:rsid w:val="00B113F5"/>
    <w:rsid w:val="00B15430"/>
    <w:rsid w:val="00B21955"/>
    <w:rsid w:val="00B25565"/>
    <w:rsid w:val="00B329A5"/>
    <w:rsid w:val="00B72C51"/>
    <w:rsid w:val="00B73A19"/>
    <w:rsid w:val="00B7737B"/>
    <w:rsid w:val="00B81F23"/>
    <w:rsid w:val="00B87834"/>
    <w:rsid w:val="00B948CC"/>
    <w:rsid w:val="00B9715D"/>
    <w:rsid w:val="00BB4F05"/>
    <w:rsid w:val="00BD221B"/>
    <w:rsid w:val="00BD6A8F"/>
    <w:rsid w:val="00C2335E"/>
    <w:rsid w:val="00C57F59"/>
    <w:rsid w:val="00C62410"/>
    <w:rsid w:val="00C7035F"/>
    <w:rsid w:val="00C76610"/>
    <w:rsid w:val="00C86337"/>
    <w:rsid w:val="00CD2FD3"/>
    <w:rsid w:val="00D25B82"/>
    <w:rsid w:val="00D37959"/>
    <w:rsid w:val="00DA7C17"/>
    <w:rsid w:val="00DA7E3D"/>
    <w:rsid w:val="00DB55CE"/>
    <w:rsid w:val="00DD7EFD"/>
    <w:rsid w:val="00DE52A2"/>
    <w:rsid w:val="00DF26D6"/>
    <w:rsid w:val="00DF479C"/>
    <w:rsid w:val="00DF52EA"/>
    <w:rsid w:val="00E13867"/>
    <w:rsid w:val="00E13F0C"/>
    <w:rsid w:val="00E22E67"/>
    <w:rsid w:val="00E36EDD"/>
    <w:rsid w:val="00E46DCE"/>
    <w:rsid w:val="00E5407F"/>
    <w:rsid w:val="00E60A59"/>
    <w:rsid w:val="00E66D5E"/>
    <w:rsid w:val="00E77156"/>
    <w:rsid w:val="00E83E39"/>
    <w:rsid w:val="00EA131A"/>
    <w:rsid w:val="00EB2B04"/>
    <w:rsid w:val="00EB2D63"/>
    <w:rsid w:val="00EC14A2"/>
    <w:rsid w:val="00ED53CF"/>
    <w:rsid w:val="00EE32F7"/>
    <w:rsid w:val="00F22D1F"/>
    <w:rsid w:val="00F249C1"/>
    <w:rsid w:val="00F3563E"/>
    <w:rsid w:val="00F44F0E"/>
    <w:rsid w:val="00F46C79"/>
    <w:rsid w:val="00F56A70"/>
    <w:rsid w:val="00F628AB"/>
    <w:rsid w:val="00F73F3A"/>
    <w:rsid w:val="00F83552"/>
    <w:rsid w:val="00FA06F8"/>
    <w:rsid w:val="00FA74EE"/>
    <w:rsid w:val="00FB7258"/>
    <w:rsid w:val="0D0F79AE"/>
    <w:rsid w:val="46213F35"/>
    <w:rsid w:val="4FBD5CCE"/>
    <w:rsid w:val="5D050D97"/>
    <w:rsid w:val="617A0F10"/>
    <w:rsid w:val="62F13AF0"/>
    <w:rsid w:val="68D1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No Spacing"/>
    <w:link w:val="9"/>
    <w:qFormat/>
    <w:uiPriority w:val="1"/>
    <w:rPr>
      <w:rFonts w:asciiTheme="minorHAnsi" w:hAnsiTheme="minorHAnsi" w:eastAsiaTheme="minorEastAsia" w:cstheme="minorBidi"/>
      <w:kern w:val="0"/>
      <w:sz w:val="22"/>
      <w:szCs w:val="22"/>
      <w:lang w:val="en-US" w:eastAsia="zh-CN" w:bidi="ar-SA"/>
    </w:rPr>
  </w:style>
  <w:style w:type="character" w:customStyle="1" w:styleId="9">
    <w:name w:val="无间隔 Char"/>
    <w:basedOn w:val="5"/>
    <w:link w:val="8"/>
    <w:qFormat/>
    <w:uiPriority w:val="1"/>
    <w:rPr>
      <w:kern w:val="0"/>
      <w:sz w:val="22"/>
    </w:rPr>
  </w:style>
  <w:style w:type="character" w:customStyle="1" w:styleId="10">
    <w:name w:val="批注框文本 Char"/>
    <w:basedOn w:val="5"/>
    <w:link w:val="2"/>
    <w:semiHidden/>
    <w:qFormat/>
    <w:uiPriority w:val="99"/>
    <w:rPr>
      <w:sz w:val="18"/>
      <w:szCs w:val="18"/>
    </w:rPr>
  </w:style>
  <w:style w:type="character" w:customStyle="1" w:styleId="11">
    <w:name w:val="页眉 Char"/>
    <w:basedOn w:val="5"/>
    <w:link w:val="4"/>
    <w:qFormat/>
    <w:uiPriority w:val="99"/>
    <w:rPr>
      <w:sz w:val="18"/>
      <w:szCs w:val="18"/>
    </w:rPr>
  </w:style>
  <w:style w:type="character" w:customStyle="1" w:styleId="12">
    <w:name w:val="页脚 Char"/>
    <w:basedOn w:val="5"/>
    <w:link w:val="3"/>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517BA-E098-4284-9D68-F65A2827A5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606</Words>
  <Characters>3456</Characters>
  <Lines>28</Lines>
  <Paragraphs>8</Paragraphs>
  <ScaleCrop>false</ScaleCrop>
  <LinksUpToDate>false</LinksUpToDate>
  <CharactersWithSpaces>4054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2015-10-30T07:05:00Z</dcterms:created>
  <dc:creator>李峰</dc:creator>
  <cp:lastModifiedBy>user</cp:lastModifiedBy>
  <cp:lastPrinted>2017-09-26T01:17:50Z</cp:lastPrinted>
  <dcterms:modified xsi:type="dcterms:W3CDTF">2017-09-26T06:23:40Z</dcterms:modified>
  <dc:title>2016年东莞市职业介绍服务中心部门决算   </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