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:u w:val="none" w:color="auto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:u w:val="none" w:color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none" w:color="auto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u w:val="none" w:color="auto"/>
          <w:lang w:val="en-US" w:eastAsia="zh-CN"/>
        </w:rPr>
        <w:t>东莞市2022年</w:t>
      </w:r>
      <w:r>
        <w:rPr>
          <w:rFonts w:hint="default" w:ascii="Times New Roman" w:hAnsi="Times New Roman" w:eastAsia="方正小标宋简体" w:cs="Times New Roman"/>
          <w:sz w:val="36"/>
          <w:szCs w:val="36"/>
          <w:u w:val="none" w:color="auto"/>
        </w:rPr>
        <w:t>“南粤家政”星级服务人员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none" w:color="auto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u w:val="none" w:color="auto"/>
        </w:rPr>
        <w:t>认定实施方案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textAlignment w:val="auto"/>
        <w:rPr>
          <w:rFonts w:hint="default" w:ascii="Times New Roman" w:hAnsi="Times New Roman" w:cs="Times New Roman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为进一步扩大“南粤家政”工程影响力，激励家政服务一线服务人员提升服务水平，推动“南粤家政”工程高质量发展，现就开展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东莞市2022年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“南粤家政”星级服务人员认定工作，制定如下实施方案。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开展“南粤家政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星级服务人员认定工作，认定一批“诚信高、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技艺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精、口碑好、业绩优”的“南粤家政”星级服务人员，牵引带动行业建立健全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 w:color="auto"/>
          <w:shd w:val="clear" w:color="auto" w:fill="FFFFFF"/>
        </w:rPr>
        <w:t>“南粤家政”服务人员的综合评价体系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，并逐步配套薪酬价格指导标准和相关激励机制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 w:color="auto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进一步增强“南粤家政”品牌的市场认可度，提高从业人员的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自信心、荣誉感，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人员职业化、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化发展。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lef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  <w:t>认定对象及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  <w:lang w:eastAsia="zh-CN"/>
        </w:rPr>
        <w:t>基本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  <w:t>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认定对象需为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东莞市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行政区域内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从事家政行业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一线服务人员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。同时具备下列条件：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取得五级（初级工）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家政服务相关国家职业资格证书、职业技能等级认定证书或初级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执业资格证书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爱岗敬业、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业绩突出，技艺得到同行认可并具有良好口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消费者（客户）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满意度高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年龄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岁以下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具备良好的职业道德，在从业期内无违法犯罪不良行为记录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其他经省、市人社部门认定的符合条件的人员。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  <w:t>三、认定等级及名额分配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 w:color="auto"/>
        </w:rPr>
        <w:t>（一）认定等级。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“南粤家政”星级服务人员具体分为一星级、二星级、三星级、四星级、五星级5个等级，各等级逐级递进，五星级为最高等级。首次申报星级认定不限定申请等级，可根据实际水平申报对应等级，认定后需晋升等级的，实行从低到高逐级晋升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 w:color="auto"/>
        </w:rPr>
        <w:t>（二）认定名额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“南粤家政”星级服务人员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一至三星级认定由市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三项工程领导小组办公室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统筹实施，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对各个等级实行总量控制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，原则上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认定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一星级不超过26名、二星级不超过20名、三星级不超过10名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详细名额分配见附件1-1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四星、五星级认定由省三项工程领导小组办公室统筹实施。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  <w:t>四、认定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流程及标准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 w:color="auto"/>
        </w:rPr>
        <w:t>（一）认定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流程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至三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星级“南粤家政”服务人员认定工作由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三项工程领导小组办公室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委托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东莞市家庭服务业工会联合会承接。具体流程如下：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主动申请。符合条件的服务人员按规定填写《××星级“南粤家政”服务人员认定申请表》（附件1-2）并根据其参评等级对应评分表内容准备佐证材料，并于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2022年7月29日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前将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《××星级“南粤家政”服务人员认定申请表》及佐证材料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提交至东莞市家庭服务业工会联合会。（地址：东莞市莞城街道65号智通大厦A馆四楼，联系人：彭立棋，联系电话：0769-87078999）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资料审核。东莞市家庭服务业工会联合会聘请专家对申请材料进行审核，并按“南粤家政”服务人员认定标准和评分细则评分。按得分从高至低排名确定一至三星级拟认定名单，形成评审报告提交至市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三项工程领导小组办公室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推荐与公示。市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三项工程领导小组办公室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对评审结果进行审定后在市人社局官方网站公示5个工作日。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对外公布。公示无异议后，市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三项工程领导小组办公室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发文公布一至三星级认定结果。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 w:color="auto"/>
        </w:rPr>
        <w:t>（二）认定标准。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“南粤家政”星级服务人员认定标准和评分细则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采用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省三项工程领导小组办公室牵头研商制定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的《一星级、二星级、三星级“南粤家政”服务人员认定标准和评分细则》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。“南粤家政”星级服务人员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认定满分为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100分，额外加分项为10分，总分110分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（具体详见附件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1-3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  <w:t>五、激励措施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为发挥“南粤家政”星级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服务人员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，特别是五星级“南粤家政”服务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示范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引领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作用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，对“南粤家政”星级服务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人员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主要有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以下激励措施：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（一）颁发星级“南粤家政”荣誉证书；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（二）优先参与省市相关部门组织的“南粤家政”工程相关交流活动和宣传报道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依托行业协会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发布不同工种的家政服务薪酬价位，将星级家政服务人员薪酬水平纳入指导范围，率先在重点企业试点应用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）对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认定为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星级“南粤家政”服务人员的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，将在专项培训、宣传报道、评比表彰等活动中优先推荐。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u w:val="none" w:color="auto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附件1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u w:val="none" w:color="auto"/>
        </w:rPr>
        <w:t>一星级、二星级、三星级“南粤家政”服务人员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u w:val="none" w:color="auto"/>
        </w:rPr>
        <w:t>认定名额分配表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u w:val="none" w:color="auto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  <w:t>项目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  <w:t>一星级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  <w:t>二星级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  <w:t>母婴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u w:val="none" w:color="auto"/>
                <w:vertAlign w:val="baseline"/>
                <w:lang w:val="en-US" w:eastAsia="zh-CN"/>
              </w:rPr>
              <w:t>8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u w:val="none" w:color="auto"/>
                <w:vertAlign w:val="baseline"/>
                <w:lang w:val="en-US" w:eastAsia="zh-CN"/>
              </w:rPr>
              <w:t>6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u w:val="none" w:color="auto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  <w:t>居家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u w:val="none" w:color="auto"/>
                <w:vertAlign w:val="baseline"/>
                <w:lang w:val="en-US" w:eastAsia="zh-CN"/>
              </w:rPr>
              <w:t>8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u w:val="none" w:color="auto"/>
                <w:vertAlign w:val="baseline"/>
                <w:lang w:val="en-US" w:eastAsia="zh-CN"/>
              </w:rPr>
              <w:t>6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u w:val="none" w:color="auto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  <w:t>养老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u w:val="none" w:color="auto"/>
                <w:vertAlign w:val="baseline"/>
                <w:lang w:val="en-US" w:eastAsia="zh-CN"/>
              </w:rPr>
              <w:t>5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u w:val="none" w:color="auto"/>
                <w:vertAlign w:val="baseline"/>
                <w:lang w:val="en-US" w:eastAsia="zh-CN"/>
              </w:rPr>
              <w:t>4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u w:val="none" w:color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  <w:t>医护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u w:val="none" w:color="auto"/>
                <w:vertAlign w:val="baseline"/>
                <w:lang w:val="en-US" w:eastAsia="zh-CN"/>
              </w:rPr>
              <w:t>5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u w:val="none" w:color="auto"/>
                <w:vertAlign w:val="baseline"/>
                <w:lang w:val="en-US" w:eastAsia="zh-CN"/>
              </w:rPr>
              <w:t>4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  <w:u w:val="none" w:color="auto"/>
                <w:vertAlign w:val="baseli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cs="Times New Roman" w:eastAsiaTheme="minorEastAsia"/>
          <w:w w:val="99"/>
          <w:sz w:val="40"/>
          <w:szCs w:val="40"/>
          <w:highlight w:val="none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小标宋简体" w:cs="Times New Roman"/>
          <w:w w:val="99"/>
          <w:sz w:val="40"/>
          <w:szCs w:val="40"/>
          <w:highlight w:val="none"/>
          <w:u w:val="none" w:color="auto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附件1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-2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 w:color="auto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u w:val="none" w:color="auto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 w:color="auto"/>
          <w:lang w:val="en-US" w:eastAsia="zh-CN"/>
        </w:rPr>
        <w:t>××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 w:color="auto"/>
        </w:rPr>
        <w:t>星级“南粤家政”服务人员认定申请表</w:t>
      </w:r>
    </w:p>
    <w:tbl>
      <w:tblPr>
        <w:tblStyle w:val="5"/>
        <w:tblW w:w="9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08"/>
        <w:gridCol w:w="948"/>
        <w:gridCol w:w="1020"/>
        <w:gridCol w:w="1295"/>
        <w:gridCol w:w="1823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姓名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性别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出生年月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718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  <w:p>
            <w:pPr>
              <w:snapToGrid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2寸近期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身份证号码</w:t>
            </w:r>
          </w:p>
        </w:tc>
        <w:tc>
          <w:tcPr>
            <w:tcW w:w="32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联系电话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snapToGrid w:val="0"/>
              <w:spacing w:line="600" w:lineRule="auto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工作单位</w:t>
            </w:r>
          </w:p>
        </w:tc>
        <w:tc>
          <w:tcPr>
            <w:tcW w:w="32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职务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（岗位）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snapToGrid w:val="0"/>
              <w:spacing w:line="600" w:lineRule="auto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技能等级</w:t>
            </w:r>
          </w:p>
        </w:tc>
        <w:tc>
          <w:tcPr>
            <w:tcW w:w="32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申报项目类别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母婴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val="en-US" w:eastAsia="zh-CN"/>
              </w:rPr>
              <w:t xml:space="preserve"> □居家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  <w:lang w:val="en-US" w:eastAsia="zh-CN"/>
              </w:rPr>
              <w:t>□养老 □医护</w:t>
            </w: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snapToGrid w:val="0"/>
              <w:spacing w:line="600" w:lineRule="auto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u w:val="none" w:color="auto"/>
              </w:rPr>
              <w:t>主要业绩</w:t>
            </w:r>
          </w:p>
        </w:tc>
        <w:tc>
          <w:tcPr>
            <w:tcW w:w="8112" w:type="dxa"/>
            <w:gridSpan w:val="6"/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u w:val="none" w:color="auto"/>
              </w:rPr>
              <w:t>奖励荣誉</w:t>
            </w:r>
          </w:p>
        </w:tc>
        <w:tc>
          <w:tcPr>
            <w:tcW w:w="8112" w:type="dxa"/>
            <w:gridSpan w:val="6"/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u w:val="none" w:color="auto"/>
              </w:rPr>
              <w:t>本人承诺</w:t>
            </w:r>
          </w:p>
        </w:tc>
        <w:tc>
          <w:tcPr>
            <w:tcW w:w="8112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本人承诺以上信息真实、准确。</w:t>
            </w:r>
          </w:p>
          <w:p>
            <w:pPr>
              <w:pStyle w:val="3"/>
              <w:rPr>
                <w:rFonts w:hint="default" w:ascii="Times New Roman" w:hAnsi="Times New Roman"/>
              </w:rPr>
            </w:pPr>
          </w:p>
          <w:p>
            <w:pPr>
              <w:ind w:firstLine="4080" w:firstLineChars="1700"/>
              <w:rPr>
                <w:rFonts w:hint="default" w:ascii="Times New Roman" w:hAnsi="Times New Roman" w:cs="Times New Roman" w:eastAsiaTheme="minorEastAsia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本人签名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：</w:t>
            </w:r>
          </w:p>
          <w:p>
            <w:pPr>
              <w:ind w:firstLine="4560" w:firstLineChars="1900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u w:val="none" w:color="auto"/>
              </w:rPr>
              <w:t>推荐单位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u w:val="none" w:color="auto"/>
              </w:rPr>
              <w:t>意见</w:t>
            </w:r>
          </w:p>
        </w:tc>
        <w:tc>
          <w:tcPr>
            <w:tcW w:w="8112" w:type="dxa"/>
            <w:gridSpan w:val="6"/>
            <w:noWrap w:val="0"/>
            <w:vAlign w:val="top"/>
          </w:tcPr>
          <w:p>
            <w:pPr>
              <w:ind w:firstLine="4080" w:firstLineChars="1700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  <w:p>
            <w:pPr>
              <w:ind w:firstLine="4080" w:firstLineChars="1700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  <w:p>
            <w:pPr>
              <w:ind w:firstLine="4080" w:firstLineChars="1700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推荐单位（盖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章）</w:t>
            </w:r>
          </w:p>
          <w:p>
            <w:pPr>
              <w:ind w:firstLine="4560" w:firstLineChars="1900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u w:val="none" w:color="auto"/>
              </w:rPr>
              <w:t>地市审核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u w:val="none" w:color="auto"/>
              </w:rPr>
              <w:t>意见</w:t>
            </w:r>
          </w:p>
        </w:tc>
        <w:tc>
          <w:tcPr>
            <w:tcW w:w="8112" w:type="dxa"/>
            <w:gridSpan w:val="6"/>
            <w:noWrap w:val="0"/>
            <w:vAlign w:val="top"/>
          </w:tcPr>
          <w:p>
            <w:pPr>
              <w:ind w:firstLine="4080" w:firstLineChars="1700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  <w:p>
            <w:pPr>
              <w:ind w:firstLine="4080" w:firstLineChars="1700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  <w:p>
            <w:pPr>
              <w:ind w:firstLine="4080" w:firstLineChars="1700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  <w:p>
            <w:pPr>
              <w:ind w:firstLine="4080" w:firstLineChars="1700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  <w:p>
            <w:pPr>
              <w:ind w:firstLine="4080" w:firstLineChars="1700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  <w:p>
            <w:pPr>
              <w:ind w:firstLine="4080" w:firstLineChars="1700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审核单位（盖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章）</w:t>
            </w:r>
          </w:p>
          <w:p>
            <w:pPr>
              <w:ind w:firstLine="4560" w:firstLineChars="1900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u w:val="none" w:color="auto"/>
              </w:rPr>
              <w:t>省厅审核意见</w:t>
            </w:r>
          </w:p>
        </w:tc>
        <w:tc>
          <w:tcPr>
            <w:tcW w:w="8112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cs="Times New Roman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u w:val="none"/>
                <w:lang w:val="en-US" w:eastAsia="zh-CN"/>
              </w:rPr>
              <w:t>广东</w:t>
            </w:r>
            <w:r>
              <w:rPr>
                <w:rFonts w:hint="default" w:ascii="Times New Roman" w:hAnsi="Times New Roman" w:cs="Times New Roman"/>
                <w:sz w:val="24"/>
                <w:u w:val="none"/>
              </w:rPr>
              <w:t>省人力资源和社会保障厅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>（盖</w:t>
            </w:r>
            <w:r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>章）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 xml:space="preserve">年 </w:t>
            </w:r>
            <w:r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 xml:space="preserve"> 月</w:t>
            </w:r>
            <w:r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>日</w:t>
            </w:r>
          </w:p>
        </w:tc>
      </w:tr>
    </w:tbl>
    <w:p>
      <w:pPr>
        <w:numPr>
          <w:ilvl w:val="0"/>
          <w:numId w:val="0"/>
        </w:numPr>
        <w:snapToGrid w:val="0"/>
        <w:spacing w:line="240" w:lineRule="auto"/>
        <w:ind w:left="0"/>
        <w:rPr>
          <w:rFonts w:hint="default" w:ascii="Times New Roman" w:hAnsi="Times New Roman" w:cs="Times New Roman"/>
          <w:sz w:val="24"/>
          <w:u w:val="none" w:color="auto"/>
          <w:lang w:val="en-US" w:eastAsia="zh-CN"/>
        </w:rPr>
        <w:sectPr>
          <w:footerReference r:id="rId3" w:type="default"/>
          <w:pgSz w:w="11906" w:h="16838"/>
          <w:pgMar w:top="1984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sz w:val="24"/>
          <w:u w:val="none" w:color="auto"/>
        </w:rPr>
        <w:t>注：1.</w:t>
      </w:r>
      <w:r>
        <w:rPr>
          <w:rFonts w:hint="default" w:ascii="Times New Roman" w:hAnsi="Times New Roman" w:cs="Times New Roman"/>
          <w:sz w:val="24"/>
          <w:u w:val="none" w:color="auto"/>
          <w:lang w:eastAsia="zh-CN"/>
        </w:rPr>
        <w:t>推荐</w:t>
      </w:r>
      <w:r>
        <w:rPr>
          <w:rFonts w:hint="default" w:ascii="Times New Roman" w:hAnsi="Times New Roman" w:cs="Times New Roman"/>
          <w:sz w:val="24"/>
          <w:u w:val="none" w:color="auto"/>
        </w:rPr>
        <w:t>人选简历附后；</w:t>
      </w:r>
      <w:r>
        <w:rPr>
          <w:rFonts w:hint="default" w:ascii="Times New Roman" w:hAnsi="Times New Roman" w:cs="Times New Roman"/>
          <w:sz w:val="24"/>
          <w:u w:val="none" w:color="auto"/>
          <w:lang w:val="en-US" w:eastAsia="zh-CN"/>
        </w:rPr>
        <w:t>2.个人申报的，无需填报推荐单位意见栏；单位申报的，</w:t>
      </w:r>
      <w:r>
        <w:rPr>
          <w:rFonts w:hint="default" w:ascii="Times New Roman" w:hAnsi="Times New Roman" w:cs="Times New Roman"/>
          <w:sz w:val="24"/>
          <w:u w:val="none" w:color="auto"/>
        </w:rPr>
        <w:t>推荐单位要对表中信息进行审核，确保真实准确</w:t>
      </w:r>
      <w:r>
        <w:rPr>
          <w:rFonts w:hint="default" w:ascii="Times New Roman" w:hAnsi="Times New Roman" w:cs="Times New Roman"/>
          <w:sz w:val="24"/>
          <w:u w:val="none" w:color="auto"/>
          <w:lang w:eastAsia="zh-CN"/>
        </w:rPr>
        <w:t>；</w:t>
      </w:r>
      <w:r>
        <w:rPr>
          <w:rFonts w:hint="default" w:ascii="Times New Roman" w:hAnsi="Times New Roman" w:cs="Times New Roman"/>
          <w:sz w:val="24"/>
          <w:u w:val="none" w:color="auto"/>
          <w:lang w:val="en-US" w:eastAsia="zh-CN"/>
        </w:rPr>
        <w:t>3.申报项目类别只能选填1项。</w:t>
      </w:r>
    </w:p>
    <w:p>
      <w:pP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-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u w:val="none" w:color="auto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u w:val="none" w:color="auto"/>
        </w:rPr>
        <w:t>一星级、二星级、三星级“南粤家政”服务人员认定标准和评分细则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u w:val="none" w:color="auto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u w:val="none" w:color="auto"/>
        </w:rPr>
        <w:t>（满分：100分，附加分10分）</w:t>
      </w:r>
    </w:p>
    <w:tbl>
      <w:tblPr>
        <w:tblStyle w:val="5"/>
        <w:tblW w:w="13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35"/>
        <w:gridCol w:w="1425"/>
        <w:gridCol w:w="4474"/>
        <w:gridCol w:w="870"/>
        <w:gridCol w:w="3135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  <w:u w:val="none" w:color="auto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  <w:u w:val="none" w:color="auto"/>
              </w:rPr>
              <w:t>序号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u w:val="none" w:color="auto"/>
              </w:rPr>
              <w:t>一级指标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u w:val="none" w:color="auto"/>
              </w:rPr>
              <w:t>二级指标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u w:val="none" w:color="auto"/>
              </w:rPr>
              <w:t>评分内容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u w:val="none" w:color="auto"/>
              </w:rPr>
              <w:t>分值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u w:val="none" w:color="auto"/>
              </w:rPr>
              <w:t>评分说明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u w:val="none" w:color="auto"/>
              </w:rPr>
              <w:t>提交资料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Times New Roman" w:cs="Times New Roman"/>
                <w:sz w:val="24"/>
                <w:u w:val="none" w:color="auto"/>
              </w:rPr>
              <w:t>1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u w:val="none" w:color="auto"/>
              </w:rPr>
            </w:pPr>
            <w:r>
              <w:rPr>
                <w:rFonts w:ascii="Times New Roman" w:hAnsi="Times New Roman" w:cs="Times New Roman"/>
                <w:sz w:val="24"/>
                <w:u w:val="none" w:color="auto"/>
              </w:rPr>
              <w:t>基础条件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申请资质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申请认定人员为在家政服务企业（在广东省行政区域内注册）的一线服务人员，取得五级（初级工）家政服务相关国家职业资格证书、职业技能等级认定证书或初级执业资格证书，年龄在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岁以下。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必备条件，不设分值。</w:t>
            </w:r>
          </w:p>
        </w:tc>
        <w:tc>
          <w:tcPr>
            <w:tcW w:w="3135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必备条件，不设分值。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服务订单、服务协议，集中服务场所服务人员提供劳动合同或单位承诺书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Times New Roman" w:cs="Times New Roman"/>
                <w:sz w:val="24"/>
                <w:u w:val="none" w:color="auto"/>
              </w:rPr>
              <w:t>2</w:t>
            </w: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星级资质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首次申请认定时不限定申请星级，认定后原则需逐级申请晋升。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3135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Times New Roman" w:cs="Times New Roman"/>
                <w:sz w:val="24"/>
                <w:u w:val="none" w:color="auto"/>
              </w:rPr>
              <w:t>3</w:t>
            </w: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服务年限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Times New Roman" w:cs="Times New Roman"/>
                <w:sz w:val="24"/>
                <w:u w:val="none" w:color="auto"/>
              </w:rPr>
              <w:t>稳定工作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3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年及以上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（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大专及以上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文化学历可放宽至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稳定工作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1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年及以上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）</w:t>
            </w:r>
            <w:r>
              <w:rPr>
                <w:rFonts w:ascii="Times New Roman" w:hAnsi="Times New Roman" w:cs="Times New Roman"/>
                <w:sz w:val="24"/>
                <w:u w:val="none" w:color="auto"/>
              </w:rPr>
              <w:t>。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3135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相关学历证书，劳动合同、服务协议或劳务合同，社会保险缴纳证明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4</w:t>
            </w: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遵纪守法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从业期内无违法犯罪和无不良信用记录，遵守单位规章制度，服务行为符合职业道德规范。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3135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5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诚信道德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val="en-US" w:eastAsia="zh-CN"/>
              </w:rPr>
              <w:t>20分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）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身份信息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录入省、市家政服务信息平台，且信息完整度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val="en-US" w:eastAsia="zh-CN"/>
              </w:rPr>
              <w:t>和准确度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不低于90%。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10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满足条件得满分，不符合条件不计分。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6</w:t>
            </w: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447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申领省、市上门服务证（码）。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10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满足条件得满分，不符合条件不计分。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ascii="Times New Roman" w:hAnsi="Times New Roman" w:cs="Times New Roman"/>
                <w:sz w:val="24"/>
                <w:u w:val="none" w:color="auto"/>
              </w:rPr>
              <w:t>7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岗位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技能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val="en-US" w:eastAsia="zh-CN"/>
              </w:rPr>
              <w:t>30分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技能证书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取得国家职业资格证书、职业技能等级认定证书或执业资格证书。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20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取得国家职业资格证书或职业技能等级认定证书一级（高级技师）、二级（技师）、三级（高级工）、四级（中级工）、五级（初级工）分别计20、15、12、10、8分。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执业资格证书高级、中级、初级分别计20、15、10分。按最高分计算，不重复计分。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相关证书复印件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8</w:t>
            </w: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培训经历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近五年参加培训机构组织的家政相关职业培训，取得结业证书。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240" w:firstLineChars="100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10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参加一次职业培训计4分，每增加一次计2分，累计不超过10分。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相关证书复印件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9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工作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业绩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val="en-US" w:eastAsia="zh-CN"/>
              </w:rPr>
              <w:t>50分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工作资历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家政服务行业从业时间。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10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满足申请认定“南粤家政”星级服务人员基础条件，工作年限每增加1年计2分，累计不超过10分。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劳动合同或服务协议，社会保险缴纳证明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10</w:t>
            </w: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服务时长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上一年度累计服务不少于180天。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符合基本条件计3分，累计服务每增加10天计1分，最高不超过2分。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工作单位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val="en-US" w:eastAsia="zh-CN"/>
              </w:rPr>
              <w:t>或消费者（客户）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11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工作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业绩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val="en-US" w:eastAsia="zh-CN"/>
              </w:rPr>
              <w:t>50分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履约能力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履行服务承诺，按服务约定内容提供服务，近3年零投诉记录。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10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符合条件计10分，违约或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消费者（客户）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投诉计0分。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工作单位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val="en-US" w:eastAsia="zh-CN"/>
              </w:rPr>
              <w:t>或消费者（客户）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12</w:t>
            </w: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消费者（客户）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满意度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上一年度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消费者（客户）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满意度。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20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消费者（客户）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总体满意程度达90%、85%、80%分别计20、15、10分，低于80%不计分。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工作单位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val="en-US" w:eastAsia="zh-CN"/>
              </w:rPr>
              <w:t>或消费者（客户）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13</w:t>
            </w: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单位评价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上一年度单位内部对家政服务人员的综合评价。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单位内部考核评分优秀、良好分别计5、3分，其余不计分。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企业内部考核制度、考核结果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14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附加项目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val="en-US" w:eastAsia="zh-CN"/>
              </w:rPr>
              <w:t>10分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技能竞赛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取得国家级、省级、地市级家政服务类职业技能竞赛奖项。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4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获得国家级、省级、地市级政府部门主办的家政服务类职业技能竞赛奖项分别计4、2、1分。（一等奖、二等奖、三等奖计同等分，优秀奖不计分）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15</w:t>
            </w: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表彰嘉奖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受到国家、省级、地市级嘉奖或授予的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技术能手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”“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三八红旗手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”“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五一劳动奖章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”“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劳动模范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”“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五四青年奖章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val="en-US" w:eastAsia="zh-CN"/>
              </w:rPr>
              <w:t>等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荣誉称号。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3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受到国家级、省级、地市级嘉奖或授予荣誉称号分别计3、2、1分。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16</w:t>
            </w: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劳动关系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与家政服务企业或民办非企业单位签订劳动合同或服务协议，按规定缴纳社会保险。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2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签订劳动合同的计2分，签订服务协议的计1分。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劳动合同或服务协议，社会保险缴纳证明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17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附加项目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val="en-US" w:eastAsia="zh-CN"/>
              </w:rPr>
              <w:t>10分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宣传推广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积极参与“南粤家政”宣传推广活动，为扩大“南粤家政”工程影响力作出贡献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  <w:lang w:eastAsia="zh-CN"/>
              </w:rPr>
              <w:t>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0.5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上一年度参加“南粤家政”宣传推广活动计0.5分。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18</w:t>
            </w: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公益活动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热心公益，为群众提供免费家政服务或技能培训，承担社会责任。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0.5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上一年度参加一次公益活动计0.5分。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5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447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总分（含附加分）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110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  <w:tc>
          <w:tcPr>
            <w:tcW w:w="2719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u w:val="none" w:color="auto"/>
        </w:rPr>
      </w:pPr>
      <w:r>
        <w:rPr>
          <w:rFonts w:hint="default" w:ascii="Times New Roman" w:hAnsi="Times New Roman" w:cs="Times New Roman"/>
          <w:sz w:val="24"/>
          <w:u w:val="none" w:color="auto"/>
        </w:rPr>
        <w:t>注：该标准为选拔参照标准，地市可根据实际细化相关指标，择优认定一星级、二星级、三星级“南粤家政”服务人员。</w:t>
      </w:r>
    </w:p>
    <w:p>
      <w:pPr>
        <w:rPr>
          <w:rFonts w:ascii="Times New Roman" w:hAnsi="Times New Roman" w:cs="Times New Roman"/>
          <w:u w:val="none" w:color="auto"/>
        </w:rPr>
      </w:pPr>
    </w:p>
    <w:p>
      <w:pPr>
        <w:rPr>
          <w:rFonts w:ascii="Times New Roman" w:hAnsi="Times New Roman" w:cs="Times New Roman"/>
          <w:u w:val="none" w:color="auto"/>
        </w:rPr>
        <w:sectPr>
          <w:pgSz w:w="16838" w:h="11906" w:orient="landscape"/>
          <w:pgMar w:top="1587" w:right="1984" w:bottom="1474" w:left="1984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u w:val="none"/>
        </w:rPr>
        <w:t xml:space="preserve"> </w:t>
      </w:r>
      <w:r>
        <w:rPr>
          <w:rFonts w:hint="default" w:ascii="Times New Roman" w:hAnsi="Times New Roman" w:eastAsia="方正小标宋简体" w:cs="Times New Roman"/>
          <w:sz w:val="36"/>
          <w:szCs w:val="36"/>
          <w:u w:val="none"/>
          <w:lang w:val="en-US" w:eastAsia="zh-CN"/>
        </w:rPr>
        <w:t>东莞市2022年</w:t>
      </w:r>
      <w:r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  <w:t>“南粤家政”星级服务企业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  <w:t>认定实施方案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为深入贯彻落实省委、省政府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关于推动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“南粤家政”工程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高质量发展的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部署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进一步扶持培育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省放心家政服务品牌，带动全省家政服务行业发展壮大，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现就开展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“南粤家政”星级服务企业认定工作，制定如下实施方案。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一、工作目标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开展“南粤家政”星级服务企业认定工作，认定一批“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信誉良好、管理规范、服务优质、消费者（客户）满意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“南粤家政”星级服务企业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，发挥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示范引领作用，带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动全省家政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服务企业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规范化、标准化、专业化、品牌化发展，增强“南粤家政”品牌影响力和市场认可度。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二、认定对象及条件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认定对象需为在本省行政区域内登记注册1年以上，经营主业为家政服务的企业，且近1年企业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有实际经营且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无失信记录，无违法或侵害从业人员合法权益等行为。同时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具备下列条件：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有自有产权或租赁期限3年以上的经营场所，整体面积在50平方米以上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上年度营业额达到100万元以上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在岗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含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组织推荐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家政服务人员20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人以上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建立企业内部管理制度，服务规范、服务范围、收费标准，有健全的人员信息和服务记录信息管理系统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从业人员信息录入省、市家政服务平台不少于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三、认定等级及名额分配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 w:color="auto"/>
        </w:rPr>
        <w:t>（一）认定等级。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“南粤家政”星级服务企业具体分为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一星级、二星级、三星级、四星级、五星级5个等级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，五星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为最高等级。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企业可根据实际水平申报对应等级。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 w:color="auto"/>
        </w:rPr>
        <w:t>（二）认定名额。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“南粤家政”星级服务企业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一至三星级认定由市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三项工程领导小组办公室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统筹实施，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对各等级实行总量控制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，原则上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认定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一星级不超过10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、二星级不超过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、三星级不超过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4家（具体项目分配请见附件2-1）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四星、五星级认定由省三项工程领导小组办公室统筹实施。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  <w:t>四、认定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流程及标准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 w:color="auto"/>
        </w:rPr>
        <w:t>（一）认定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至三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星级“南粤家政”服务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认定工作由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三项工程领导小组办公室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委托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东莞市家庭服务业工会联合会承接。具体流程如下：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1. 提出申请。符合条件的服务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按规定填写《××星级“南粤家政”服务企业认定申请表》（附件2-2）并根据《“南粤家政”星级服务企业认定标准和评分细则》（附件2-3）的内容准备佐证材料，并于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2022年7月29日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前将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《××星级“南粤家政”服务企业认定申请表》及佐证材料装订成册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，提交至东莞市家庭服务业工会联合会（地址：东莞市莞城街道65号智通大厦A馆四楼，联系人：彭立棋，联系电话：0769-87078999）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2. 资料审核。东莞市家庭服务业工会联合会聘请专家对申请材料进行审核，并按“南粤家政”服务企业认定标准和评分细则评分。按得分从高至低排名确定一至三星级拟认定名单，形成评审报告提交至市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三项工程领导小组办公室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3. 推荐与公示。市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三项工程领导小组办公室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对评审结果进行审定后，在市人社局官方网站进行公示。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4. 对外公布。公示无异议后，市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三项工程领导小组办公室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发文公布一至三星级认定结果。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（二）认定标准。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“南粤家政”星级服务企业认定标准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“南粤家政”星级服务人员认定标准和评分细则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采用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省三项工程领导小组办公室牵头研商制定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的《“南粤家政”星级服务企业认定标准和评分细则》。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“南粤家政”服务企业星级认定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满分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为100分，额外加分项为10分，总分110分，按各项指标的综合得分从高到低依次评定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星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星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星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个等级。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其中，三星级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总分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达到80分以上(含80分），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二星级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总分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达到70分以上(含70分），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一星级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总分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达到60分以上(含60分）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评分细则详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见附件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2-2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五、激励措施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为发挥“南粤家政”星级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服务企业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，特别是五星级“南粤家政”服务企业的行业示范作用，对认定为“南粤家政”星级服务企业，主要有以下激励措施：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（一）颁发星级“南粤家政”荣誉证书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（二）可优先申报“南粤家政”省级家政服务龙头企业和省级家政服务诚信示范企业等评选项目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可优先享受公共就业人才服务机构提供的招聘用工、劳务对接、政策咨询、补贴受理等服务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）获得星级等级越高的“南粤家政”服务企业优先在省“南粤家政”网络服务平台系统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靠前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展示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（五）鼓励各地在“南粤家政”基层服务站创建活动中，倾斜支持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“南粤家政”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星级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服务企业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）优先参与省市相关部门组织的“南粤家政”工程相关交流活动和宣传报道。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2-1</w:t>
      </w:r>
    </w:p>
    <w:p>
      <w:pP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highlight w:val="none"/>
          <w:u w:val="none"/>
        </w:rPr>
        <w:t>一星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highlight w:val="none"/>
          <w:u w:val="none"/>
          <w:lang w:eastAsia="zh-CN"/>
        </w:rPr>
        <w:t>级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highlight w:val="none"/>
          <w:u w:val="none"/>
        </w:rPr>
        <w:t>、二星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highlight w:val="none"/>
          <w:u w:val="none"/>
          <w:lang w:eastAsia="zh-CN"/>
        </w:rPr>
        <w:t>级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highlight w:val="none"/>
          <w:u w:val="none"/>
        </w:rPr>
        <w:t>、三星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highlight w:val="none"/>
          <w:u w:val="none"/>
          <w:lang w:eastAsia="zh-CN"/>
        </w:rPr>
        <w:t>级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highlight w:val="none"/>
          <w:u w:val="none"/>
        </w:rPr>
        <w:t>“南粤家政”</w:t>
      </w: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highlight w:val="none"/>
          <w:u w:val="none"/>
        </w:rPr>
        <w:t>服务企业认定名额分配表</w:t>
      </w:r>
    </w:p>
    <w:p>
      <w:pP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  <w:t>项目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  <w:t>一星级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  <w:t>二星级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  <w:t>母婴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u w:val="none" w:color="auto"/>
                <w:vertAlign w:val="baseline"/>
                <w:lang w:val="en-US" w:eastAsia="zh-CN"/>
              </w:rPr>
              <w:t>3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u w:val="none" w:color="auto"/>
                <w:vertAlign w:val="baseline"/>
                <w:lang w:val="en-US" w:eastAsia="zh-CN"/>
              </w:rPr>
              <w:t>3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u w:val="none" w:color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  <w:t>居家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u w:val="none" w:color="auto"/>
                <w:vertAlign w:val="baseline"/>
                <w:lang w:val="en-US" w:eastAsia="zh-CN"/>
              </w:rPr>
              <w:t>3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u w:val="none" w:color="auto"/>
                <w:vertAlign w:val="baseline"/>
                <w:lang w:val="en-US" w:eastAsia="zh-CN"/>
              </w:rPr>
              <w:t>2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u w:val="none" w:color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  <w:t>养老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u w:val="none" w:color="auto"/>
                <w:vertAlign w:val="baseline"/>
                <w:lang w:val="en-US" w:eastAsia="zh-CN"/>
              </w:rPr>
              <w:t>2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u w:val="none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u w:val="none" w:color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u w:val="none" w:color="auto"/>
                <w:vertAlign w:val="baseline"/>
                <w:lang w:val="en-US" w:eastAsia="zh-CN"/>
              </w:rPr>
              <w:t>医护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u w:val="none" w:color="auto"/>
                <w:vertAlign w:val="baseline"/>
                <w:lang w:val="en-US" w:eastAsia="zh-CN"/>
              </w:rPr>
              <w:t>2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u w:val="none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u w:val="none" w:color="auto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br w:type="page"/>
      </w:r>
    </w:p>
    <w:p>
      <w:pP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2-2</w:t>
      </w:r>
    </w:p>
    <w:p>
      <w:pPr>
        <w:spacing w:line="580" w:lineRule="exact"/>
        <w:rPr>
          <w:rFonts w:ascii="Times New Roman" w:hAnsi="Times New Roman" w:eastAsia="黑体" w:cs="Times New Roman"/>
          <w:u w:val="none"/>
        </w:rPr>
      </w:pPr>
    </w:p>
    <w:p>
      <w:pPr>
        <w:spacing w:afterLines="100"/>
        <w:jc w:val="center"/>
        <w:rPr>
          <w:rFonts w:ascii="Times New Roman" w:hAnsi="Times New Roman" w:eastAsia="方正小标宋简体" w:cs="Times New Roman"/>
          <w:sz w:val="36"/>
          <w:szCs w:val="36"/>
          <w:u w:val="none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u w:val="none"/>
        </w:rPr>
        <w:t xml:space="preserve">  </w:t>
      </w:r>
      <w:r>
        <w:rPr>
          <w:rFonts w:hint="default" w:ascii="Times New Roman" w:hAnsi="Times New Roman" w:eastAsia="方正小标宋简体" w:cs="Times New Roman"/>
          <w:sz w:val="36"/>
          <w:szCs w:val="36"/>
          <w:u w:val="none"/>
          <w:lang w:val="en-US" w:eastAsia="zh-CN"/>
        </w:rPr>
        <w:t xml:space="preserve"> ××</w:t>
      </w:r>
      <w:r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  <w:t>星级“南粤家政”服务企业认定申请表</w:t>
      </w:r>
    </w:p>
    <w:p>
      <w:pPr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申请单位（盖章）：                          申报日期：    年  月  日</w:t>
      </w:r>
    </w:p>
    <w:tbl>
      <w:tblPr>
        <w:tblStyle w:val="5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195"/>
        <w:gridCol w:w="1815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申请单位名称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（全称）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  <w:lang w:eastAsia="zh-CN"/>
              </w:rPr>
              <w:t>申报项目类别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u w:val="none"/>
                <w:lang w:eastAsia="zh-CN"/>
              </w:rPr>
              <w:t>母婴</w:t>
            </w:r>
            <w:r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  <w:t xml:space="preserve"> □居家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  <w:t>□养老 □医护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单位地址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社会信用代码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主营业务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单位类型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法人代表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联系方式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3" w:hRule="atLeast"/>
          <w:jc w:val="center"/>
        </w:trPr>
        <w:tc>
          <w:tcPr>
            <w:tcW w:w="193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单位简介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u w:val="none"/>
              </w:rPr>
              <w:t>及工作成效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u w:val="none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字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u w:val="none"/>
              </w:rPr>
              <w:t>以</w:t>
            </w:r>
            <w:r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内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>）</w:t>
            </w:r>
          </w:p>
        </w:tc>
        <w:tc>
          <w:tcPr>
            <w:tcW w:w="7413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193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u w:val="none"/>
              </w:rPr>
              <w:t>企业承诺</w:t>
            </w:r>
          </w:p>
        </w:tc>
        <w:tc>
          <w:tcPr>
            <w:tcW w:w="7413" w:type="dxa"/>
            <w:gridSpan w:val="3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</w:rPr>
              <w:t xml:space="preserve">    我单位郑重承诺，以上填报信息真实无误，如有虚假，愿意承担相应的责任。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pStyle w:val="3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</w:rPr>
              <w:t xml:space="preserve">                              法人（签</w:t>
            </w:r>
            <w:r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u w:val="none"/>
              </w:rPr>
              <w:t>章）：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</w:rPr>
              <w:t xml:space="preserve">                              企业（盖</w:t>
            </w:r>
            <w:r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u w:val="none"/>
              </w:rPr>
              <w:t>章）：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</w:rPr>
              <w:t xml:space="preserve">                              </w:t>
            </w:r>
            <w:r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none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exact"/>
          <w:jc w:val="center"/>
        </w:trPr>
        <w:tc>
          <w:tcPr>
            <w:tcW w:w="1930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u w:val="none"/>
                <w:lang w:eastAsia="zh-CN"/>
              </w:rPr>
              <w:t>地市</w:t>
            </w:r>
            <w:r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审核意见</w:t>
            </w:r>
          </w:p>
        </w:tc>
        <w:tc>
          <w:tcPr>
            <w:tcW w:w="7413" w:type="dxa"/>
            <w:gridSpan w:val="3"/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  <w:lang w:eastAsia="zh-CN"/>
              </w:rPr>
              <w:t>已完成现场核验</w:t>
            </w:r>
            <w:r>
              <w:rPr>
                <w:rFonts w:hint="default" w:ascii="Times New Roman" w:hAnsi="Times New Roman" w:cs="Times New Roman"/>
                <w:sz w:val="24"/>
                <w:u w:val="none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u w:val="none"/>
                <w:lang w:eastAsia="zh-CN"/>
              </w:rPr>
              <w:t>与申报材料一致</w:t>
            </w:r>
            <w:r>
              <w:rPr>
                <w:rFonts w:hint="default" w:ascii="Times New Roman" w:hAnsi="Times New Roman" w:cs="Times New Roman"/>
                <w:sz w:val="24"/>
                <w:u w:val="none"/>
              </w:rPr>
              <w:t>。</w:t>
            </w: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pStyle w:val="3"/>
              <w:rPr>
                <w:rFonts w:ascii="Times New Roman" w:hAnsi="Times New Roman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ind w:firstLine="3120" w:firstLineChars="1300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</w:rPr>
              <w:t>市人社部门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>（盖  章）</w:t>
            </w:r>
          </w:p>
          <w:p>
            <w:pPr>
              <w:spacing w:line="360" w:lineRule="exact"/>
              <w:ind w:left="0" w:leftChars="0" w:firstLine="3756" w:firstLineChars="1565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年  月</w:t>
            </w:r>
            <w:r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>日</w:t>
            </w: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</w:rPr>
              <w:t xml:space="preserve">       市商务部门</w:t>
            </w: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（盖  章）</w:t>
            </w: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年  月日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exact"/>
          <w:jc w:val="center"/>
        </w:trPr>
        <w:tc>
          <w:tcPr>
            <w:tcW w:w="1930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省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u w:val="none"/>
              </w:rPr>
              <w:t>厅审核</w:t>
            </w:r>
            <w:r>
              <w:rPr>
                <w:rFonts w:ascii="Times New Roman" w:hAnsi="Times New Roman" w:cs="Times New Roman"/>
                <w:b/>
                <w:bCs/>
                <w:sz w:val="24"/>
                <w:u w:val="none"/>
              </w:rPr>
              <w:t>意见</w:t>
            </w:r>
          </w:p>
        </w:tc>
        <w:tc>
          <w:tcPr>
            <w:tcW w:w="741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pStyle w:val="3"/>
              <w:rPr>
                <w:rFonts w:ascii="Times New Roman" w:hAnsi="Times New Roman"/>
                <w:sz w:val="24"/>
                <w:u w:val="none"/>
              </w:rPr>
            </w:pPr>
          </w:p>
          <w:p>
            <w:pPr>
              <w:pStyle w:val="3"/>
              <w:rPr>
                <w:rFonts w:ascii="Times New Roman" w:hAnsi="Times New Roman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cs="Times New Roman"/>
                <w:sz w:val="24"/>
                <w:u w:val="none"/>
                <w:lang w:val="en-US" w:eastAsia="zh-CN"/>
              </w:rPr>
              <w:t>广东</w:t>
            </w:r>
            <w:r>
              <w:rPr>
                <w:rFonts w:hint="default" w:ascii="Times New Roman" w:hAnsi="Times New Roman" w:cs="Times New Roman"/>
                <w:sz w:val="24"/>
                <w:u w:val="none"/>
              </w:rPr>
              <w:t>省人力资源和社会保障厅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>（盖 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>年  月</w:t>
            </w:r>
            <w:r>
              <w:rPr>
                <w:rFonts w:hint="default" w:ascii="Times New Roman" w:hAnsi="Times New Roman" w:cs="Times New Roman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>日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</w:rPr>
              <w:t xml:space="preserve">省商务厅  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（盖 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年  月日</w:t>
            </w:r>
          </w:p>
        </w:tc>
      </w:tr>
    </w:tbl>
    <w:p>
      <w:pPr>
        <w:spacing w:line="590" w:lineRule="exact"/>
        <w:rPr>
          <w:rFonts w:hint="default" w:ascii="Times New Roman" w:hAnsi="Times New Roman" w:eastAsia="仿宋_GB2312" w:cs="Times New Roman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u w:val="none"/>
        </w:rPr>
        <w:t>注：</w:t>
      </w:r>
      <w:r>
        <w:rPr>
          <w:rFonts w:hint="default" w:ascii="Times New Roman" w:hAnsi="Times New Roman" w:cs="Times New Roman"/>
          <w:sz w:val="24"/>
          <w:u w:val="none"/>
          <w:lang w:val="en-US" w:eastAsia="zh-CN"/>
        </w:rPr>
        <w:t>申报项目类别只能选填1项。</w:t>
      </w:r>
    </w:p>
    <w:p>
      <w:pPr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br w:type="page"/>
      </w:r>
    </w:p>
    <w:p>
      <w:pPr>
        <w:spacing w:line="590" w:lineRule="exact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附件2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-3</w:t>
      </w:r>
    </w:p>
    <w:p>
      <w:pPr>
        <w:spacing w:line="590" w:lineRule="exact"/>
        <w:rPr>
          <w:rFonts w:hint="default" w:ascii="Times New Roman" w:hAnsi="Times New Roman" w:eastAsia="黑体" w:cs="Times New Roman"/>
          <w:u w:val="none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u w:val="none"/>
        </w:rPr>
        <w:t>“南粤家政”星级服务企业认定标准和评分细则</w:t>
      </w:r>
    </w:p>
    <w:p>
      <w:pPr>
        <w:spacing w:line="590" w:lineRule="exact"/>
        <w:jc w:val="center"/>
        <w:rPr>
          <w:rFonts w:ascii="Times New Roman" w:hAnsi="Times New Roman" w:eastAsia="黑体" w:cs="Times New Roman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u w:val="none"/>
        </w:rPr>
        <w:t>（满分：100分，附加分10分）</w:t>
      </w:r>
    </w:p>
    <w:tbl>
      <w:tblPr>
        <w:tblStyle w:val="5"/>
        <w:tblW w:w="8837" w:type="dxa"/>
        <w:tblInd w:w="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667"/>
        <w:gridCol w:w="1306"/>
        <w:gridCol w:w="811"/>
        <w:gridCol w:w="3725"/>
        <w:gridCol w:w="1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u w:val="none"/>
              </w:rPr>
              <w:t>序号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u w:val="none"/>
              </w:rPr>
              <w:t>一级指标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u w:val="none"/>
              </w:rPr>
              <w:t>二级指标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u w:val="none"/>
              </w:rPr>
              <w:t>分值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u w:val="none"/>
              </w:rPr>
              <w:t>评分说明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u w:val="none"/>
              </w:rPr>
              <w:t>提交资料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u w:val="none"/>
              </w:rPr>
              <w:t>1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基础能力（25分）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年度营业额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上年度营业额500万元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以上（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含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00万元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，得5分；300万元～500万元（含300万元），得4分；100万元～300万元（含100万元），得2分；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highlight w:val="none"/>
                <w:u w:val="none"/>
              </w:rPr>
              <w:t>100万元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以下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不得分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上一年度财务报表，纳税证明或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年度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汇算清缴报告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u w:val="none"/>
              </w:rPr>
              <w:t>2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经营场地面积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300㎡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以上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（含300㎡)，得5分；150㎡～300㎡（含150㎡），得4分；50㎡～150㎡（含50㎡），得2分；50㎡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以下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不得分（租赁场地经营的，租约达到3年以上）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产权证、租赁合同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u w:val="none"/>
              </w:rPr>
              <w:t>3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企业运营年限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5年以上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（含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5年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，得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分；2年～5年（含2年），得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分；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～2年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eastAsia="zh-CN"/>
              </w:rPr>
              <w:t>（含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1年），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分；1年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以下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不得分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年度纳税证明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u w:val="none"/>
              </w:rPr>
              <w:t>4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eastAsia="zh-CN"/>
              </w:rPr>
              <w:t>在岗（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含组织推荐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服务人员数量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在岗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含组织推荐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家政服务人员200人以上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（含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200人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，得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分；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～200人（含100人），得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分；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～100人（含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人），得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分；20人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以下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不得分。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劳动合同</w:t>
            </w:r>
          </w:p>
          <w:p>
            <w:pPr>
              <w:widowControl/>
              <w:wordWrap/>
              <w:adjustRightInd/>
              <w:snapToGrid w:val="0"/>
              <w:spacing w:line="38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劳务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eastAsia="zh-CN"/>
              </w:rPr>
              <w:t>协议和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服务协议</w:t>
            </w:r>
          </w:p>
          <w:p>
            <w:pPr>
              <w:widowControl/>
              <w:wordWrap/>
              <w:adjustRightInd/>
              <w:snapToGrid w:val="0"/>
              <w:spacing w:line="38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3.社保缴费证明</w:t>
            </w:r>
          </w:p>
          <w:p>
            <w:pPr>
              <w:widowControl/>
              <w:wordWrap/>
              <w:adjustRightInd/>
              <w:snapToGrid w:val="0"/>
              <w:spacing w:line="38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4.其他证明材料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u w:val="none"/>
              </w:rPr>
              <w:t>5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劳动合同用工占比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签订劳动合同的家政服务人员占比50%以上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（含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50%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，得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分；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0%～50%(含30%），得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分；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%～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0%（含10%），得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分；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%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以下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不得分。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从业人员信息名单、劳动合同复印件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u w:val="none"/>
              </w:rPr>
              <w:t>6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基础能力（25分）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eastAsia="zh-CN"/>
              </w:rPr>
              <w:t>录入家政服务平台人数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录入省家政服务平台的在岗人员数量占总在岗人数的比例达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90%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以上（含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90%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，得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分；70%～90%（含70%），得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70%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以下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不得分。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省、市平台家政服务信息平台数据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管理能力（3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分）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制度建设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有财务管理、档案管理、投诉管理、合同管理、安全管理、人力资源管理、信用管理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eastAsia="zh-CN"/>
              </w:rPr>
              <w:t>、员工手册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等规章制度，得5分，每缺一项扣1分。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相关制度复印件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服务标准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对企业服务项目建立具体服务标准，并有细化的操作规程和完备的管理制度的，得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5分。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u w:val="none"/>
                <w:lang w:val="en-US" w:eastAsia="zh-CN"/>
              </w:rPr>
              <w:t>9</w:t>
            </w:r>
          </w:p>
        </w:tc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培训管理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有内部培训制度，并具备稳定的师资团队，并有开展内部培训的，得5分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相关内部培训制度、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eastAsia="zh-CN"/>
              </w:rPr>
              <w:t>培训师资证明、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培训日程表、培训记录等证明材料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u w:val="none"/>
                <w:lang w:val="en-US" w:eastAsia="zh-CN"/>
              </w:rPr>
              <w:t>10</w:t>
            </w:r>
          </w:p>
        </w:tc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培训人数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上一年度企业内部开展家政服务人员培训人数占比达100%的，得5分；90%～100%（含90%），得4分；80%～90%（含80%），得2分；80%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以下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不得分。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从业人员信息名单，内部培训员工签到记录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u w:val="none"/>
                <w:lang w:val="en-US" w:eastAsia="zh-CN"/>
              </w:rPr>
              <w:t>11</w:t>
            </w:r>
          </w:p>
        </w:tc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购买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保险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5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为在岗家政服务人员按月缴纳工伤保险或购买商业保险（家政服务责任保险、意外伤害保险等同类保险）的人数达到100%，得5分；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%～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%（含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%），得4分；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%～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%（含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%），得3分；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%～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80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%（含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%），得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70%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以下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不得分。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购买保险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凭证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u w:val="none"/>
                <w:lang w:val="en-US" w:eastAsia="zh-CN"/>
              </w:rPr>
              <w:t>12</w:t>
            </w:r>
          </w:p>
        </w:tc>
        <w:tc>
          <w:tcPr>
            <w:tcW w:w="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上门服务证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持有率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60" w:lineRule="exac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在岗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家政服务人员上门服务证持有率达到95%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以上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（含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95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%）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，得5分；达到80%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～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95%（含80%），得4分；达到60%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～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80%（含60%），得2分；60%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以下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不得分。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u w:val="none"/>
                <w:lang w:val="en-US" w:eastAsia="zh-CN"/>
              </w:rPr>
              <w:t>13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管理能力（3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分）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员工稳岗率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家政服务人员中稳定就业一年以上的达90%以上（含90%），得5分；60%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～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90%（含60%），得3分；30%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～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60%（含30%），得1分；30%以下不得分。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  <w:lang w:val="en-US" w:eastAsia="zh-CN"/>
              </w:rPr>
              <w:t>劳动合同、劳务协议、服务协议或工资流水等证明材料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u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服务能力（4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分）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人员学历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从业人员各学历段人数占总人数的比例：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本科及以上学历人数占总人数5%以上（含5%），得5分；专科及以上学历人数占总人数10%以上（含10%），得3分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，每再增加10%，多得1分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；高中及以上学历人数占总人数50%以上（含50%），得1分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每再增加10%，多得1分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高中及以上学历人数占总人数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比例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50%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以下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不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得分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</w:rPr>
              <w:t>按最高分计算，不重复计分。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人员学历信息统计表和相关学历复印件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u w:val="none"/>
                <w:lang w:val="en-US" w:eastAsia="zh-CN"/>
              </w:rPr>
              <w:t>15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技能证书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家政服务人员持有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eastAsia="zh-CN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国家职业资格证书、职业技能等级认定证书、专项能力证书或执业资格证书占比达70%以上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（含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70%）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的，得10分；50%～70%（含50%），得7分；30%～50%（含30%），得4分；30%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以下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不得分。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人员技能证书信息统计表和相关证书复印件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val="en-US" w:eastAsia="zh-CN"/>
              </w:rPr>
              <w:t>16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履约能力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5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合同履约率100%，得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分；90%至100%之间（含90%），得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分；90%以下不得分。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val="en-US" w:eastAsia="zh-CN"/>
              </w:rPr>
              <w:t>17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消费者（客户）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满意度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上一年度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消费者（客户）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对企业服务的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总体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满意度达95%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以上（含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95%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的，得10分；90%～95%（含90%）的，得8分；85%～90%（含85%）的，得6分；80%～85%（含80%）的，得4分；80%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以下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不得分。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u w:val="none"/>
                <w:lang w:val="en-US" w:eastAsia="zh-CN"/>
              </w:rPr>
              <w:t>18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服务能力（4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分）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投诉及处理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5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消费者（客户）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投诉率低于5%的，得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分；5%以上的（含5%），不得分。按合同约定，投诉处理率100%的，得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分；90%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～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100%（含90%），得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分；80%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～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90%（含80%），得1分；80%以下不得分。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u w:val="none"/>
                <w:lang w:val="en-US" w:eastAsia="zh-CN"/>
              </w:rPr>
              <w:t>19</w:t>
            </w:r>
          </w:p>
        </w:tc>
        <w:tc>
          <w:tcPr>
            <w:tcW w:w="6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服务流程管理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建立服务管理档案，包括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</w:rPr>
              <w:t>顾客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需求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信息、订单信息、服务情况、跟踪回访信息等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档案信息完整的，得5分；不够完善的，得3分；无任何记录的不得分。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u w:val="none"/>
                <w:lang w:val="en-US" w:eastAsia="zh-CN"/>
              </w:rPr>
              <w:t>20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加分项（10分）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创新能力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对于服务产品、服务设备、专用工具、智能产品，企业每成功研发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项的，得1分。满分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分。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u w:val="none"/>
                <w:lang w:val="en-US" w:eastAsia="zh-CN"/>
              </w:rPr>
              <w:t>21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eastAsia="zh-CN"/>
              </w:rPr>
              <w:t>产教融合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 w:val="0"/>
              <w:spacing w:line="38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  <w:t>与其它服务业整合，如与养老机构、育幼机构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  <w:t>物业、快递等服务业融合发展的，得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  <w:lang w:val="en-US" w:eastAsia="zh-CN"/>
              </w:rPr>
              <w:t>1分；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  <w:t>企业与高校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  <w:lang w:eastAsia="zh-CN"/>
              </w:rPr>
              <w:t>、技工院校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  <w:t>共建实训基地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  <w:lang w:eastAsia="zh-CN"/>
              </w:rPr>
              <w:t>的，得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  <w:lang w:val="en-US" w:eastAsia="zh-CN"/>
              </w:rPr>
              <w:t>2分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u w:val="none"/>
              </w:rPr>
              <w:t>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u w:val="none"/>
              </w:rPr>
              <w:t>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u w:val="none"/>
                <w:lang w:val="en-US" w:eastAsia="zh-CN"/>
              </w:rPr>
              <w:t>22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eastAsia="zh-CN"/>
              </w:rPr>
              <w:t>数字能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力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after="240" w:line="38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建有网上交易平台，且网上成交量占总成交量比例达到80%以上（含80%）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分；60%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～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80%（含60%），得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分；60%以下不得分。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u w:val="none"/>
                <w:lang w:val="en-US" w:eastAsia="zh-CN"/>
              </w:rPr>
              <w:t>23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社会责任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上年度每参与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次公益活动得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0.2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分，满分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分；主动接受特殊群体人员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(残疾人）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就业，每一名得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0.2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eastAsia="zh-CN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满分1分。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u w:val="none"/>
                <w:lang w:val="en-US" w:eastAsia="zh-CN"/>
              </w:rPr>
              <w:t>24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 w:val="0"/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eastAsia="zh-CN"/>
              </w:rPr>
              <w:t>党团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组织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3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企业建立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eastAsia="zh-CN"/>
              </w:rPr>
              <w:t>党团组织或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工会组织，并组织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eastAsia="zh-CN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活动，得1分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5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合计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u w:val="none"/>
              </w:rPr>
              <w:t>110</w:t>
            </w:r>
          </w:p>
        </w:tc>
        <w:tc>
          <w:tcPr>
            <w:tcW w:w="3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 w:val="0"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 w:val="0"/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90" w:lineRule="exact"/>
        <w:rPr>
          <w:rFonts w:ascii="Times New Roman" w:hAnsi="Times New Roman" w:cs="Times New Roman"/>
          <w:u w:val="none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eastAsia="宋体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DRr4hjpwEAADk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CACC63"/>
    <w:multiLevelType w:val="singleLevel"/>
    <w:tmpl w:val="D0CACC6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582B9F6"/>
    <w:multiLevelType w:val="singleLevel"/>
    <w:tmpl w:val="F582B9F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6338D94"/>
    <w:multiLevelType w:val="singleLevel"/>
    <w:tmpl w:val="F6338D9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0000000"/>
    <w:multiLevelType w:val="singleLevel"/>
    <w:tmpl w:val="0000000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467D4216"/>
    <w:multiLevelType w:val="singleLevel"/>
    <w:tmpl w:val="467D4216"/>
    <w:lvl w:ilvl="0" w:tentative="0">
      <w:start w:val="2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NTA0NjIxYjlmOTM1YTk3ZTA1MTlhNzcwMmE0MjkifQ=="/>
  </w:docVars>
  <w:rsids>
    <w:rsidRoot w:val="2CFB417A"/>
    <w:rsid w:val="019642BC"/>
    <w:rsid w:val="138D676C"/>
    <w:rsid w:val="1F4553A6"/>
    <w:rsid w:val="24F7514E"/>
    <w:rsid w:val="28514C46"/>
    <w:rsid w:val="2CFB417A"/>
    <w:rsid w:val="3E52772F"/>
    <w:rsid w:val="3FE24A12"/>
    <w:rsid w:val="43686C4B"/>
    <w:rsid w:val="46CD1645"/>
    <w:rsid w:val="480C1613"/>
    <w:rsid w:val="4EB94D4C"/>
    <w:rsid w:val="53453910"/>
    <w:rsid w:val="614F0CDB"/>
    <w:rsid w:val="65991F36"/>
    <w:rsid w:val="6A563B12"/>
    <w:rsid w:val="6A9674E1"/>
    <w:rsid w:val="6B42028D"/>
    <w:rsid w:val="6E5E1408"/>
    <w:rsid w:val="7B63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9">
    <w:name w:val="样式1"/>
    <w:basedOn w:val="1"/>
    <w:qFormat/>
    <w:uiPriority w:val="0"/>
    <w:pPr>
      <w:spacing w:line="600" w:lineRule="atLeast"/>
      <w:ind w:firstLine="883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9436</Words>
  <Characters>9994</Characters>
  <Lines>0</Lines>
  <Paragraphs>0</Paragraphs>
  <TotalTime>38</TotalTime>
  <ScaleCrop>false</ScaleCrop>
  <LinksUpToDate>false</LinksUpToDate>
  <CharactersWithSpaces>10304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2022-07-02T08:26:00Z</dcterms:created>
  <dc:creator>ymy</dc:creator>
  <cp:lastModifiedBy>ymy</cp:lastModifiedBy>
  <cp:lastPrinted>2022-07-13T01:35:10Z</cp:lastPrinted>
  <dcterms:modified xsi:type="dcterms:W3CDTF">2022-07-13T01:44:48Z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D4DBBD46C4904E6DA0A8167D0DD0FC92</vt:lpwstr>
  </property>
</Properties>
</file>