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6" w:lineRule="exact"/>
        <w:rPr>
          <w:rFonts w:eastAsia="黑体"/>
          <w:kern w:val="0"/>
          <w:szCs w:val="32"/>
        </w:rPr>
      </w:pPr>
      <w:r>
        <w:rPr>
          <w:rFonts w:eastAsia="黑体"/>
          <w:kern w:val="0"/>
          <w:szCs w:val="32"/>
        </w:rPr>
        <w:t>附件2</w:t>
      </w:r>
    </w:p>
    <w:p>
      <w:pPr>
        <w:jc w:val="center"/>
        <w:rPr>
          <w:rFonts w:eastAsia="方正小标宋简体"/>
          <w:sz w:val="44"/>
          <w:szCs w:val="44"/>
        </w:rPr>
      </w:pPr>
      <w:r>
        <w:rPr>
          <w:rFonts w:eastAsia="方正小标宋简体"/>
          <w:sz w:val="44"/>
          <w:szCs w:val="44"/>
        </w:rPr>
        <w:t>佐证材料说明</w:t>
      </w:r>
    </w:p>
    <w:tbl>
      <w:tblPr>
        <w:tblStyle w:val="7"/>
        <w:tblpPr w:leftFromText="180" w:rightFromText="180" w:vertAnchor="text" w:horzAnchor="margin"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061"/>
        <w:gridCol w:w="3022"/>
        <w:gridCol w:w="257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779" w:type="dxa"/>
            <w:vAlign w:val="center"/>
          </w:tcPr>
          <w:p>
            <w:pPr>
              <w:jc w:val="center"/>
              <w:rPr>
                <w:rFonts w:eastAsia="黑体"/>
                <w:kern w:val="0"/>
                <w:sz w:val="21"/>
                <w:szCs w:val="21"/>
              </w:rPr>
            </w:pPr>
            <w:r>
              <w:rPr>
                <w:rFonts w:eastAsia="黑体"/>
                <w:kern w:val="0"/>
                <w:sz w:val="21"/>
                <w:szCs w:val="21"/>
              </w:rPr>
              <w:t>一级指标</w:t>
            </w:r>
          </w:p>
        </w:tc>
        <w:tc>
          <w:tcPr>
            <w:tcW w:w="1061" w:type="dxa"/>
            <w:vAlign w:val="center"/>
          </w:tcPr>
          <w:p>
            <w:pPr>
              <w:jc w:val="center"/>
              <w:rPr>
                <w:rFonts w:eastAsia="黑体"/>
                <w:kern w:val="0"/>
                <w:sz w:val="21"/>
                <w:szCs w:val="21"/>
              </w:rPr>
            </w:pPr>
            <w:r>
              <w:rPr>
                <w:rFonts w:eastAsia="黑体"/>
                <w:kern w:val="0"/>
                <w:sz w:val="21"/>
                <w:szCs w:val="21"/>
              </w:rPr>
              <w:t>二级</w:t>
            </w:r>
          </w:p>
          <w:p>
            <w:pPr>
              <w:jc w:val="center"/>
              <w:rPr>
                <w:rFonts w:eastAsia="黑体"/>
                <w:kern w:val="0"/>
                <w:sz w:val="21"/>
                <w:szCs w:val="21"/>
              </w:rPr>
            </w:pPr>
            <w:r>
              <w:rPr>
                <w:rFonts w:eastAsia="黑体"/>
                <w:kern w:val="0"/>
                <w:sz w:val="21"/>
                <w:szCs w:val="21"/>
              </w:rPr>
              <w:t>指标</w:t>
            </w:r>
          </w:p>
        </w:tc>
        <w:tc>
          <w:tcPr>
            <w:tcW w:w="3022" w:type="dxa"/>
            <w:vAlign w:val="center"/>
          </w:tcPr>
          <w:p>
            <w:pPr>
              <w:jc w:val="center"/>
              <w:rPr>
                <w:rFonts w:eastAsia="黑体"/>
                <w:kern w:val="0"/>
                <w:sz w:val="21"/>
                <w:szCs w:val="21"/>
              </w:rPr>
            </w:pPr>
            <w:r>
              <w:rPr>
                <w:rFonts w:eastAsia="黑体"/>
                <w:kern w:val="0"/>
                <w:sz w:val="21"/>
                <w:szCs w:val="21"/>
              </w:rPr>
              <w:t>评价内容</w:t>
            </w:r>
          </w:p>
        </w:tc>
        <w:tc>
          <w:tcPr>
            <w:tcW w:w="2572" w:type="dxa"/>
            <w:vAlign w:val="center"/>
          </w:tcPr>
          <w:p>
            <w:pPr>
              <w:jc w:val="center"/>
              <w:rPr>
                <w:rFonts w:eastAsia="黑体"/>
                <w:kern w:val="0"/>
                <w:sz w:val="21"/>
                <w:szCs w:val="21"/>
              </w:rPr>
            </w:pPr>
            <w:r>
              <w:rPr>
                <w:rFonts w:eastAsia="黑体"/>
                <w:kern w:val="0"/>
                <w:sz w:val="21"/>
                <w:szCs w:val="21"/>
              </w:rPr>
              <w:t>佐证材料</w:t>
            </w:r>
          </w:p>
        </w:tc>
        <w:tc>
          <w:tcPr>
            <w:tcW w:w="1088" w:type="dxa"/>
            <w:vAlign w:val="center"/>
          </w:tcPr>
          <w:p>
            <w:pPr>
              <w:jc w:val="center"/>
              <w:rPr>
                <w:rFonts w:eastAsia="黑体"/>
                <w:kern w:val="0"/>
                <w:sz w:val="21"/>
                <w:szCs w:val="21"/>
              </w:rPr>
            </w:pPr>
            <w:r>
              <w:rPr>
                <w:rFonts w:eastAsia="黑体"/>
                <w:kern w:val="0"/>
                <w:sz w:val="21"/>
                <w:szCs w:val="21"/>
              </w:rPr>
              <w:t>是否需要企业提交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779"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初始分</w:t>
            </w: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获得许可</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有效《劳务派遣经营许可证》或劳务派遣分公司备案证明。</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人社部门许可数据</w:t>
            </w:r>
          </w:p>
        </w:tc>
        <w:tc>
          <w:tcPr>
            <w:tcW w:w="1088"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trPr>
        <w:tc>
          <w:tcPr>
            <w:tcW w:w="779"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基本指标</w:t>
            </w: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经营行业</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主营业务。（指营收最多的业务）</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本年度年审数据</w:t>
            </w:r>
          </w:p>
        </w:tc>
        <w:tc>
          <w:tcPr>
            <w:tcW w:w="1088"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经营年限</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持现有劳务派遣经营许可证年限，5年内未单位名称和法定代表人变更情况。</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人社部门许可数据</w:t>
            </w:r>
          </w:p>
        </w:tc>
        <w:tc>
          <w:tcPr>
            <w:tcW w:w="1088"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资产状况</w:t>
            </w:r>
          </w:p>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（7分）</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经营面积。</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人社部门许可数据</w:t>
            </w:r>
          </w:p>
        </w:tc>
        <w:tc>
          <w:tcPr>
            <w:tcW w:w="1088" w:type="dxa"/>
            <w:tcBorders>
              <w:bottom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经营场所（住所）为自有房产。</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房产证</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持证情况</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自有人员中持有劳动关系协调员证或劳务派遣管理员证。</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自有员工的有效的劳动关系协调员证或劳务派遣管理员证，及劳动合同</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自有人员</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自有人员人数</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本年度年审数据</w:t>
            </w:r>
          </w:p>
        </w:tc>
        <w:tc>
          <w:tcPr>
            <w:tcW w:w="1088"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自有人员大专及以上学历人数。</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本年度年审数据</w:t>
            </w:r>
          </w:p>
        </w:tc>
        <w:tc>
          <w:tcPr>
            <w:tcW w:w="1088"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保障用工需求</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年度累计派遣被派遣劳动者人数。</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本年度年审数据</w:t>
            </w:r>
          </w:p>
        </w:tc>
        <w:tc>
          <w:tcPr>
            <w:tcW w:w="1088"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注册资本</w:t>
            </w:r>
          </w:p>
        </w:tc>
        <w:tc>
          <w:tcPr>
            <w:tcW w:w="3022" w:type="dxa"/>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实缴资本。</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人社部门许可数据</w:t>
            </w:r>
          </w:p>
        </w:tc>
        <w:tc>
          <w:tcPr>
            <w:tcW w:w="1088"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779" w:type="dxa"/>
            <w:vMerge w:val="continue"/>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纳税情况</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在东莞纳税总额。</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本年度年审数据</w:t>
            </w:r>
          </w:p>
        </w:tc>
        <w:tc>
          <w:tcPr>
            <w:tcW w:w="1088" w:type="dxa"/>
            <w:tcBorders>
              <w:bottom w:val="single" w:color="auto" w:sz="4" w:space="0"/>
            </w:tcBorders>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trPr>
        <w:tc>
          <w:tcPr>
            <w:tcW w:w="779"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加分指标</w:t>
            </w: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获得表彰</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获得党中央、国务院（含中办、国办）表彰，或其他国家级综合性表彰或认定先进的（人社部单独或联合发文）情况。</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文件、表彰的相关照片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获得省委、省政府（含两办）表彰的，或其他省级综合性表彰或认定先进的（人社厅单独或联合发文）情况</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文件、表彰的相关照片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trPr>
        <w:tc>
          <w:tcPr>
            <w:tcW w:w="779"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加分指标</w:t>
            </w: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获得表彰</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获得市委、市政府（含两办）表彰的，或其他市级综合性表彰或认定先进的（人社局单独或联合发文）情况。</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文件、表彰的相关照片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正面报道</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受国家级官方媒体正面报道。</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新闻媒体报道截图（不限于报纸、网络等）</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受省级官方媒体正面报道。</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新闻媒体报道截图（不限于报纸、网络等）</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受市级官方媒体正面报道。</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新闻媒体报道截图（不限于报纸、网络等）</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和谐劳动关系建设</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被认定为国家级、省级、或市级和谐劳动关系企业。</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文件、表彰的相关照片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社会责任</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参加公益活动与社会捐赠（包括但不限于安置再就业人员、 大学毕业生、 转业军人等）。</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活动的照片、文件、社会捐赠凭证</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人才培养</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培养出持有高级工及以上职业资格（职业技能等级）或中级以上专业技术资格证书的技术技能人才。</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员工有效的职业技能证书或专业技术证书，及劳动合同</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调解机制</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建立劳动争议调解组织；调解员。</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成立劳动争议调解组织的文件、有调解室、办公设备；员工的《劳动争议调解员证》及劳动合同</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安全生产</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建立健全安全生产规章制度、操作规程、事故应急预案并进行演练。建立培训制度，对被派遣劳动者进行上岗知识、安全教育培训。</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相关文件、照片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经营场所消防证；安全出口、喷淋设备、烟感设备情况。</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经营场所的《消防安全合格证》；对应设备的照片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依法建立工会组织，每年至少开展工会活动2次，设立党的基层组织。</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建立工会组织、基层党组织相关证件或文件、开展工会活动照片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加入劳务派遣行业协会，加入人力资源服务产业促进会。</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相关文件、照片</w:t>
            </w:r>
          </w:p>
        </w:tc>
        <w:tc>
          <w:tcPr>
            <w:tcW w:w="1088" w:type="dxa"/>
            <w:tcBorders>
              <w:bottom w:val="single" w:color="auto" w:sz="4" w:space="0"/>
            </w:tcBorders>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使用广东省电子劳动合同系统签订电子劳动合同。</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人社部门数据</w:t>
            </w:r>
          </w:p>
        </w:tc>
        <w:tc>
          <w:tcPr>
            <w:tcW w:w="1088" w:type="dxa"/>
            <w:shd w:val="clear" w:color="auto" w:fill="auto"/>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使用“就莞用平台”及人社部门指定平台录入用工备案。</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本年度年审数据</w:t>
            </w:r>
          </w:p>
        </w:tc>
        <w:tc>
          <w:tcPr>
            <w:tcW w:w="1088" w:type="dxa"/>
            <w:shd w:val="clear" w:color="auto" w:fill="auto"/>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79" w:type="dxa"/>
            <w:vMerge w:val="continue"/>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其他加分情形。</w:t>
            </w:r>
          </w:p>
        </w:tc>
        <w:tc>
          <w:tcPr>
            <w:tcW w:w="2572"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相关文件、照片</w:t>
            </w:r>
          </w:p>
        </w:tc>
        <w:tc>
          <w:tcPr>
            <w:tcW w:w="1088" w:type="dxa"/>
            <w:shd w:val="clear" w:color="auto" w:fill="80C588" w:themeFill="background1" w:themeFillShade="BF"/>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779"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减分指标</w:t>
            </w: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负面报道</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受国家级官方媒体负面报道。</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受省级官方媒体负面报道。</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受市级官方媒体负面报道。</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劳动保障监察</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因劳动保障违法行为被</w:t>
            </w:r>
            <w:bookmarkStart w:id="0" w:name="_GoBack"/>
            <w:bookmarkEnd w:id="0"/>
            <w:r>
              <w:rPr>
                <w:rFonts w:hint="eastAsia" w:asciiTheme="minorEastAsia" w:hAnsiTheme="minorEastAsia" w:eastAsiaTheme="minorEastAsia" w:cstheme="minorEastAsia"/>
                <w:kern w:val="0"/>
                <w:sz w:val="21"/>
                <w:szCs w:val="21"/>
              </w:rPr>
              <w:t>依法行政处理处罚。</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劳动争议仲裁</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发生集体劳动争议案件且败诉（含部分败诉），发生非集体劳动争议案件且败诉（含部分败诉）。</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安全事故</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发送重大及以上安全生产事故。</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Merge w:val="restart"/>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不良社会影响</w:t>
            </w: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发生群体性、突发性等重大社会影响事件。</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779" w:type="dxa"/>
            <w:vMerge w:val="continue"/>
            <w:tcBorders/>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left"/>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年度经营情况报告核验结果为合格，但无经营劳务派遣业务。</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本年度年审数据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trPr>
        <w:tc>
          <w:tcPr>
            <w:tcW w:w="779" w:type="dxa"/>
            <w:vMerge w:val="continue"/>
            <w:tcBorders/>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left"/>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因违反劳动保障法律法规或产生较多劳资投诉被劳动保障行政部门警示约谈。</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79" w:type="dxa"/>
            <w:vMerge w:val="continue"/>
            <w:tcBorders/>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left"/>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社会保险稽核中发现存在违法行为。</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79" w:type="dxa"/>
            <w:vMerge w:val="continue"/>
            <w:tcBorders/>
            <w:vAlign w:val="center"/>
          </w:tcPr>
          <w:p>
            <w:pPr>
              <w:jc w:val="left"/>
              <w:rPr>
                <w:rFonts w:hint="eastAsia" w:asciiTheme="minorEastAsia" w:hAnsiTheme="minorEastAsia" w:eastAsiaTheme="minorEastAsia" w:cstheme="minorEastAsia"/>
                <w:kern w:val="0"/>
                <w:sz w:val="21"/>
                <w:szCs w:val="21"/>
              </w:rPr>
            </w:pPr>
          </w:p>
        </w:tc>
        <w:tc>
          <w:tcPr>
            <w:tcW w:w="1061" w:type="dxa"/>
            <w:vMerge w:val="continue"/>
            <w:vAlign w:val="center"/>
          </w:tcPr>
          <w:p>
            <w:pPr>
              <w:jc w:val="left"/>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单位拖延支付工伤待遇。</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Merge w:val="continue"/>
            <w:vAlign w:val="center"/>
          </w:tcPr>
          <w:p>
            <w:pPr>
              <w:jc w:val="center"/>
              <w:rPr>
                <w:rFonts w:hint="eastAsia" w:asciiTheme="minorEastAsia" w:hAnsiTheme="minorEastAsia" w:eastAsiaTheme="minorEastAsia" w:cstheme="minorEastAsia"/>
                <w:kern w:val="0"/>
                <w:sz w:val="21"/>
                <w:szCs w:val="21"/>
              </w:rPr>
            </w:pPr>
          </w:p>
        </w:tc>
        <w:tc>
          <w:tcPr>
            <w:tcW w:w="3022" w:type="dxa"/>
            <w:shd w:val="clear" w:color="auto" w:fill="auto"/>
            <w:vAlign w:val="center"/>
          </w:tcPr>
          <w:p>
            <w:pPr>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存在其他部门提供的劳动保障不良信息情形。</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779" w:type="dxa"/>
            <w:vMerge w:val="continue"/>
            <w:tcBorders/>
            <w:vAlign w:val="center"/>
          </w:tcPr>
          <w:p>
            <w:pPr>
              <w:jc w:val="center"/>
              <w:rPr>
                <w:rFonts w:hint="eastAsia" w:asciiTheme="minorEastAsia" w:hAnsiTheme="minorEastAsia" w:eastAsiaTheme="minorEastAsia" w:cstheme="minorEastAsia"/>
                <w:kern w:val="0"/>
                <w:sz w:val="21"/>
                <w:szCs w:val="21"/>
              </w:rPr>
            </w:pPr>
          </w:p>
        </w:tc>
        <w:tc>
          <w:tcPr>
            <w:tcW w:w="1061" w:type="dxa"/>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w:t>
            </w:r>
          </w:p>
        </w:tc>
        <w:tc>
          <w:tcPr>
            <w:tcW w:w="3022" w:type="dxa"/>
            <w:shd w:val="clear" w:color="auto" w:fill="auto"/>
            <w:vAlign w:val="center"/>
          </w:tcPr>
          <w:p>
            <w:pPr>
              <w:spacing w:line="32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其他扣分情形。（例如被公安交警部门查处超额载员行为或被交警通报或约谈的，扣10分）</w:t>
            </w:r>
          </w:p>
        </w:tc>
        <w:tc>
          <w:tcPr>
            <w:tcW w:w="2572"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人社部门日常监管数据</w:t>
            </w:r>
          </w:p>
        </w:tc>
        <w:tc>
          <w:tcPr>
            <w:tcW w:w="1088" w:type="dxa"/>
            <w:vAlign w:val="center"/>
          </w:tcPr>
          <w:p>
            <w:pPr>
              <w:spacing w:line="320" w:lineRule="exac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exact"/>
        </w:trPr>
        <w:tc>
          <w:tcPr>
            <w:tcW w:w="8522" w:type="dxa"/>
            <w:gridSpan w:val="5"/>
            <w:vAlign w:val="center"/>
          </w:tcPr>
          <w:p>
            <w:pPr>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备注：以上需提交的材料应用A4纸打印或复印，并加盖劳务派遣单位公章。</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180203"/>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3YjIxZTg1MGYzYmFjZDE4OWQyYjQxY2U1YTYyNjAifQ=="/>
  </w:docVars>
  <w:rsids>
    <w:rsidRoot w:val="006F5587"/>
    <w:rsid w:val="006F5587"/>
    <w:rsid w:val="0082475E"/>
    <w:rsid w:val="0092460A"/>
    <w:rsid w:val="00A4604B"/>
    <w:rsid w:val="00CD2D94"/>
    <w:rsid w:val="605C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11"/>
    <w:qFormat/>
    <w:uiPriority w:val="0"/>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 Char"/>
    <w:basedOn w:val="8"/>
    <w:link w:val="2"/>
    <w:uiPriority w:val="0"/>
    <w:rPr>
      <w:rFonts w:ascii="Times New Roman" w:hAnsi="Times New Roman" w:eastAsia="仿宋_GB2312" w:cs="Times New Roman"/>
      <w:sz w:val="32"/>
      <w:szCs w:val="24"/>
    </w:rPr>
  </w:style>
  <w:style w:type="character" w:customStyle="1" w:styleId="12">
    <w:name w:val="批注框文本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4</Pages>
  <Words>1677</Words>
  <Characters>1679</Characters>
  <Lines>13</Lines>
  <Paragraphs>3</Paragraphs>
  <TotalTime>0</TotalTime>
  <ScaleCrop>false</ScaleCrop>
  <LinksUpToDate>false</LinksUpToDate>
  <CharactersWithSpaces>1681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2023-09-01T07:13:00Z</dcterms:created>
  <dc:creator>袁文剑</dc:creator>
  <cp:lastModifiedBy>黄柱棠</cp:lastModifiedBy>
  <dcterms:modified xsi:type="dcterms:W3CDTF">2023-09-01T07:29:31Z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56463C3EF0704EA88F3CD642214F8E3D_12</vt:lpwstr>
  </property>
</Properties>
</file>