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pPr>
      <w:bookmarkStart w:id="0" w:name="_Toc22593"/>
      <w:bookmarkStart w:id="1" w:name="_Toc32469"/>
      <w:bookmarkStart w:id="2" w:name="_GoBack"/>
      <w:bookmarkEnd w:id="2"/>
      <w:r>
        <w:rPr>
          <w:rFonts w:ascii="宋体" w:hAnsi="宋体" w:eastAsia="宋体" w:cs="Times New Roman"/>
          <w:b/>
          <w:kern w:val="2"/>
          <w:sz w:val="40"/>
          <w:szCs w:val="40"/>
          <w:lang w:val="en-US" w:eastAsia="zh-CN" w:bidi="ar-SA"/>
        </w:rPr>
        <w:pict>
          <v:shape id="图片 3" o:spid="_x0000_s1026" type="#_x0000_t75" style="position:absolute;left:0;margin-left:-42.1pt;margin-top:-12.35pt;height:50.1pt;width:50.1pt;rotation:0f;z-index:251658240;" o:ole="f" fillcolor="#FFFFFF" filled="f" o:preferrelative="t" stroked="f" coordorigin="0,0" coordsize="21600,21600">
            <v:fill on="f" color2="#FFFFFF" focus="0%"/>
            <v:imagedata gain="65536f" blacklevel="0f" gamma="0" o:title="105" r:id="rId5"/>
            <o:lock v:ext="edit" position="f" selection="f" grouping="f" rotation="f" cropping="f" text="f" aspectratio="t"/>
          </v:shape>
        </w:pict>
      </w:r>
      <w:r>
        <w:rPr>
          <w:rFonts w:ascii="宋体" w:hAnsi="宋体" w:eastAsia="宋体" w:cs="Times New Roman"/>
          <w:b/>
          <w:kern w:val="2"/>
          <w:sz w:val="40"/>
          <w:szCs w:val="40"/>
          <w:lang w:val="en-US" w:eastAsia="zh-CN" w:bidi="ar-SA"/>
        </w:rPr>
        <w:pict>
          <v:shape id="图片 6" o:spid="_x0000_s1027" type="#_x0000_t75" style="position:absolute;left:0;margin-left:2.85pt;margin-top:-6.85pt;height:45.15pt;width:7.7pt;rotation:0f;z-index:251659264;" o:ole="f" fillcolor="#FFFFFF" filled="f" o:preferrelative="t" stroked="f" coordorigin="0,0" coordsize="21600,21600">
            <v:fill on="f" color2="#FFFFFF" focus="0%"/>
            <v:imagedata gain="65536f" blacklevel="0f" gamma="0" o:title="不会填扫一扫" r:id="rId6"/>
            <o:lock v:ext="edit" position="f" selection="f" grouping="f" rotation="f" cropping="f" text="f" aspectratio="t"/>
          </v:shape>
        </w:pict>
      </w:r>
      <w:r>
        <w:rPr>
          <w:rFonts w:hint="eastAsia"/>
        </w:rPr>
        <w:t>工伤保险供养亲属待遇申请表</w:t>
      </w:r>
      <w:bookmarkEnd w:id="0"/>
      <w:bookmarkEnd w:id="1"/>
    </w:p>
    <w:tbl>
      <w:tblPr>
        <w:tblStyle w:val="6"/>
        <w:tblpPr w:leftFromText="180" w:rightFromText="180" w:vertAnchor="text" w:horzAnchor="page" w:tblpXSpec="center" w:tblpY="149"/>
        <w:tblOverlap w:val="never"/>
        <w:tblW w:w="155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274"/>
        <w:gridCol w:w="2040"/>
        <w:gridCol w:w="990"/>
        <w:gridCol w:w="1035"/>
        <w:gridCol w:w="480"/>
        <w:gridCol w:w="1185"/>
        <w:gridCol w:w="1398"/>
        <w:gridCol w:w="507"/>
        <w:gridCol w:w="1186"/>
        <w:gridCol w:w="1037"/>
        <w:gridCol w:w="147"/>
        <w:gridCol w:w="1275"/>
        <w:gridCol w:w="1590"/>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9" w:hRule="atLeast"/>
          <w:jc w:val="center"/>
        </w:trPr>
        <w:tc>
          <w:tcPr>
            <w:tcW w:w="331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r>
              <w:rPr>
                <w:rFonts w:ascii="仿宋_GB2312" w:hAnsi="仿宋_GB2312" w:eastAsia="仿宋_GB2312"/>
                <w:szCs w:val="21"/>
              </w:rPr>
              <w:t>工伤（亡）职工姓名</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_GB2312" w:hAnsi="仿宋_GB2312" w:eastAsia="仿宋_GB2312"/>
                <w:szCs w:val="21"/>
              </w:rPr>
            </w:pPr>
          </w:p>
        </w:tc>
        <w:tc>
          <w:tcPr>
            <w:tcW w:w="258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r>
              <w:rPr>
                <w:rFonts w:ascii="仿宋_GB2312" w:hAnsi="仿宋_GB2312" w:eastAsia="仿宋_GB2312"/>
                <w:szCs w:val="21"/>
              </w:rPr>
              <w:t>身份证号</w:t>
            </w:r>
          </w:p>
        </w:tc>
        <w:tc>
          <w:tcPr>
            <w:tcW w:w="273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42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r>
              <w:rPr>
                <w:rFonts w:ascii="仿宋_GB2312" w:hAnsi="仿宋_GB2312" w:eastAsia="仿宋_GB2312"/>
                <w:szCs w:val="21"/>
              </w:rPr>
              <w:t>死亡时间</w:t>
            </w:r>
          </w:p>
        </w:tc>
        <w:tc>
          <w:tcPr>
            <w:tcW w:w="301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44" w:hRule="atLeast"/>
          <w:jc w:val="center"/>
        </w:trPr>
        <w:tc>
          <w:tcPr>
            <w:tcW w:w="1274"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r>
              <w:rPr>
                <w:rFonts w:ascii="仿宋_GB2312" w:hAnsi="仿宋_GB2312" w:eastAsia="仿宋_GB2312"/>
                <w:szCs w:val="21"/>
              </w:rPr>
              <w:t>供养亲属姓名</w:t>
            </w:r>
          </w:p>
        </w:tc>
        <w:tc>
          <w:tcPr>
            <w:tcW w:w="2040"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r>
              <w:rPr>
                <w:rFonts w:ascii="仿宋_GB2312" w:hAnsi="仿宋_GB2312" w:eastAsia="仿宋_GB2312"/>
                <w:szCs w:val="21"/>
              </w:rPr>
              <w:t>身份证号</w:t>
            </w:r>
          </w:p>
        </w:tc>
        <w:tc>
          <w:tcPr>
            <w:tcW w:w="990"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r>
              <w:rPr>
                <w:rFonts w:ascii="仿宋_GB2312" w:hAnsi="仿宋_GB2312" w:eastAsia="仿宋_GB2312"/>
                <w:szCs w:val="21"/>
              </w:rPr>
              <w:t>性别</w:t>
            </w:r>
          </w:p>
        </w:tc>
        <w:tc>
          <w:tcPr>
            <w:tcW w:w="1515" w:type="dxa"/>
            <w:gridSpan w:val="2"/>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r>
              <w:rPr>
                <w:rFonts w:ascii="仿宋_GB2312" w:hAnsi="仿宋_GB2312" w:eastAsia="仿宋_GB2312"/>
                <w:szCs w:val="21"/>
              </w:rPr>
              <w:t>出生日期</w:t>
            </w:r>
          </w:p>
        </w:tc>
        <w:tc>
          <w:tcPr>
            <w:tcW w:w="1185"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r>
              <w:rPr>
                <w:rFonts w:ascii="仿宋_GB2312" w:hAnsi="仿宋_GB2312" w:eastAsia="仿宋_GB2312"/>
                <w:szCs w:val="21"/>
              </w:rPr>
              <w:t>与伤亡者关系</w:t>
            </w:r>
          </w:p>
        </w:tc>
        <w:tc>
          <w:tcPr>
            <w:tcW w:w="5550" w:type="dxa"/>
            <w:gridSpan w:val="6"/>
            <w:tcBorders>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r>
              <w:rPr>
                <w:rFonts w:ascii="仿宋_GB2312" w:hAnsi="仿宋_GB2312" w:eastAsia="仿宋_GB2312"/>
                <w:szCs w:val="21"/>
              </w:rPr>
              <w:t>待遇支付信息</w:t>
            </w:r>
          </w:p>
        </w:tc>
        <w:tc>
          <w:tcPr>
            <w:tcW w:w="3012" w:type="dxa"/>
            <w:gridSpan w:val="2"/>
            <w:tcBorders>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r>
              <w:rPr>
                <w:rFonts w:ascii="仿宋_GB2312" w:hAnsi="仿宋_GB2312" w:eastAsia="仿宋_GB2312"/>
                <w:szCs w:val="21"/>
              </w:rPr>
              <w:t>通讯信息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6" w:hRule="atLeast"/>
          <w:jc w:val="center"/>
        </w:trPr>
        <w:tc>
          <w:tcPr>
            <w:tcW w:w="1274" w:type="dxa"/>
            <w:vMerge w:val="continue"/>
            <w:tcBorders>
              <w:left w:val="single" w:color="000000" w:sz="4" w:space="0"/>
              <w:bottom w:val="single" w:color="000000" w:sz="4" w:space="0"/>
              <w:right w:val="single" w:color="000000" w:sz="4" w:space="0"/>
            </w:tcBorders>
            <w:vAlign w:val="center"/>
          </w:tcPr>
          <w:p>
            <w:pPr>
              <w:rPr>
                <w:szCs w:val="21"/>
              </w:rPr>
            </w:pPr>
          </w:p>
        </w:tc>
        <w:tc>
          <w:tcPr>
            <w:tcW w:w="2040" w:type="dxa"/>
            <w:vMerge w:val="continue"/>
            <w:tcBorders>
              <w:left w:val="single" w:color="000000" w:sz="4" w:space="0"/>
              <w:bottom w:val="single" w:color="000000" w:sz="4" w:space="0"/>
              <w:right w:val="single" w:color="000000" w:sz="4" w:space="0"/>
            </w:tcBorders>
            <w:vAlign w:val="center"/>
          </w:tcPr>
          <w:p>
            <w:pPr>
              <w:rPr>
                <w:szCs w:val="21"/>
              </w:rPr>
            </w:pPr>
          </w:p>
        </w:tc>
        <w:tc>
          <w:tcPr>
            <w:tcW w:w="990" w:type="dxa"/>
            <w:vMerge w:val="continue"/>
            <w:tcBorders>
              <w:left w:val="single" w:color="000000" w:sz="4" w:space="0"/>
              <w:bottom w:val="single" w:color="000000" w:sz="4" w:space="0"/>
              <w:right w:val="single" w:color="000000" w:sz="4" w:space="0"/>
            </w:tcBorders>
            <w:vAlign w:val="center"/>
          </w:tcPr>
          <w:p>
            <w:pPr>
              <w:rPr>
                <w:szCs w:val="21"/>
              </w:rPr>
            </w:pPr>
          </w:p>
        </w:tc>
        <w:tc>
          <w:tcPr>
            <w:tcW w:w="1515" w:type="dxa"/>
            <w:gridSpan w:val="2"/>
            <w:vMerge w:val="continue"/>
            <w:tcBorders>
              <w:left w:val="single" w:color="000000" w:sz="4" w:space="0"/>
              <w:bottom w:val="single" w:color="000000" w:sz="4" w:space="0"/>
              <w:right w:val="single" w:color="000000" w:sz="4" w:space="0"/>
            </w:tcBorders>
            <w:vAlign w:val="center"/>
          </w:tcPr>
          <w:p>
            <w:pPr>
              <w:rPr>
                <w:szCs w:val="21"/>
              </w:rPr>
            </w:pPr>
          </w:p>
        </w:tc>
        <w:tc>
          <w:tcPr>
            <w:tcW w:w="1185" w:type="dxa"/>
            <w:vMerge w:val="continue"/>
            <w:tcBorders>
              <w:left w:val="single" w:color="000000" w:sz="4" w:space="0"/>
              <w:bottom w:val="single" w:color="000000" w:sz="4" w:space="0"/>
              <w:right w:val="single" w:color="000000" w:sz="4" w:space="0"/>
            </w:tcBorders>
            <w:vAlign w:val="center"/>
          </w:tcPr>
          <w:p>
            <w:pPr>
              <w:rPr>
                <w:szCs w:val="21"/>
              </w:rPr>
            </w:pP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r>
              <w:rPr>
                <w:rFonts w:ascii="仿宋_GB2312" w:hAnsi="仿宋_GB2312" w:eastAsia="仿宋_GB2312"/>
                <w:szCs w:val="21"/>
              </w:rPr>
              <w:t>银行名称</w:t>
            </w:r>
          </w:p>
        </w:tc>
        <w:tc>
          <w:tcPr>
            <w:tcW w:w="11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r>
              <w:rPr>
                <w:rFonts w:ascii="仿宋_GB2312" w:hAnsi="仿宋_GB2312" w:eastAsia="仿宋_GB2312"/>
                <w:szCs w:val="21"/>
              </w:rPr>
              <w:t>账户户名</w:t>
            </w:r>
          </w:p>
        </w:tc>
        <w:tc>
          <w:tcPr>
            <w:tcW w:w="245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r>
              <w:rPr>
                <w:rFonts w:ascii="仿宋_GB2312" w:hAnsi="仿宋_GB2312" w:eastAsia="仿宋_GB2312"/>
                <w:szCs w:val="21"/>
              </w:rPr>
              <w:t>银行账号</w:t>
            </w:r>
          </w:p>
        </w:tc>
        <w:tc>
          <w:tcPr>
            <w:tcW w:w="15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r>
              <w:rPr>
                <w:rFonts w:ascii="仿宋_GB2312" w:hAnsi="仿宋_GB2312" w:eastAsia="仿宋_GB2312"/>
                <w:szCs w:val="21"/>
              </w:rPr>
              <w:t>户籍所在地(或住址)</w:t>
            </w:r>
          </w:p>
        </w:tc>
        <w:tc>
          <w:tcPr>
            <w:tcW w:w="14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r>
              <w:rPr>
                <w:rFonts w:ascii="仿宋_GB2312" w:hAnsi="仿宋_GB2312" w:eastAsia="仿宋_GB2312"/>
                <w:szCs w:val="21"/>
              </w:rPr>
              <w:t>联系人</w:t>
            </w:r>
          </w:p>
          <w:p>
            <w:pPr>
              <w:autoSpaceDN w:val="0"/>
              <w:jc w:val="center"/>
              <w:textAlignment w:val="center"/>
              <w:rPr>
                <w:rFonts w:ascii="仿宋_GB2312" w:hAnsi="仿宋_GB2312" w:eastAsia="仿宋_GB2312"/>
                <w:szCs w:val="21"/>
              </w:rPr>
            </w:pPr>
            <w:r>
              <w:rPr>
                <w:rFonts w:ascii="仿宋_GB2312" w:hAnsi="仿宋_GB2312" w:eastAsia="仿宋_GB2312"/>
                <w:szCs w:val="21"/>
              </w:rPr>
              <w:t>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jc w:val="center"/>
        </w:trPr>
        <w:tc>
          <w:tcPr>
            <w:tcW w:w="12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仿宋_GB2312" w:eastAsia="仿宋_GB2312"/>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245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4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_GB2312" w:hAnsi="仿宋_GB2312"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5" w:hRule="atLeast"/>
          <w:jc w:val="center"/>
        </w:trPr>
        <w:tc>
          <w:tcPr>
            <w:tcW w:w="12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245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4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_GB2312" w:hAnsi="仿宋_GB2312"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jc w:val="center"/>
        </w:trPr>
        <w:tc>
          <w:tcPr>
            <w:tcW w:w="1274" w:type="dxa"/>
            <w:tcBorders>
              <w:top w:val="single" w:color="000000" w:sz="4" w:space="0"/>
              <w:left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2040" w:type="dxa"/>
            <w:tcBorders>
              <w:top w:val="single" w:color="000000" w:sz="4" w:space="0"/>
              <w:left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990" w:type="dxa"/>
            <w:tcBorders>
              <w:top w:val="single" w:color="000000" w:sz="4" w:space="0"/>
              <w:left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515"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185" w:type="dxa"/>
            <w:tcBorders>
              <w:top w:val="single" w:color="000000" w:sz="4" w:space="0"/>
              <w:left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905"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186" w:type="dxa"/>
            <w:tcBorders>
              <w:top w:val="single" w:color="000000" w:sz="4" w:space="0"/>
              <w:left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2459" w:type="dxa"/>
            <w:gridSpan w:val="3"/>
            <w:tcBorders>
              <w:top w:val="single" w:color="000000" w:sz="4" w:space="0"/>
              <w:left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590" w:type="dxa"/>
            <w:tcBorders>
              <w:top w:val="single" w:color="000000" w:sz="4" w:space="0"/>
              <w:left w:val="single" w:color="000000" w:sz="4" w:space="0"/>
              <w:right w:val="single" w:color="000000" w:sz="4" w:space="0"/>
            </w:tcBorders>
            <w:vAlign w:val="center"/>
          </w:tcPr>
          <w:p>
            <w:pPr>
              <w:autoSpaceDN w:val="0"/>
              <w:jc w:val="center"/>
              <w:textAlignment w:val="center"/>
              <w:rPr>
                <w:rFonts w:ascii="仿宋_GB2312" w:hAnsi="仿宋_GB2312" w:eastAsia="仿宋_GB2312"/>
                <w:szCs w:val="21"/>
              </w:rPr>
            </w:pPr>
          </w:p>
        </w:tc>
        <w:tc>
          <w:tcPr>
            <w:tcW w:w="1422" w:type="dxa"/>
            <w:tcBorders>
              <w:top w:val="single" w:color="000000" w:sz="4" w:space="0"/>
              <w:left w:val="single" w:color="000000" w:sz="4" w:space="0"/>
              <w:right w:val="single" w:color="000000" w:sz="4" w:space="0"/>
            </w:tcBorders>
            <w:vAlign w:val="center"/>
          </w:tcPr>
          <w:p>
            <w:pPr>
              <w:autoSpaceDN w:val="0"/>
              <w:jc w:val="left"/>
              <w:textAlignment w:val="center"/>
              <w:rPr>
                <w:rFonts w:ascii="仿宋_GB2312" w:hAnsi="仿宋_GB2312"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15566" w:type="dxa"/>
            <w:gridSpan w:val="14"/>
            <w:tcBorders>
              <w:top w:val="single" w:color="000000" w:sz="4" w:space="0"/>
              <w:left w:val="single" w:color="000000" w:sz="4" w:space="0"/>
              <w:right w:val="single" w:color="000000" w:sz="4" w:space="0"/>
            </w:tcBorders>
            <w:vAlign w:val="center"/>
          </w:tcPr>
          <w:p>
            <w:pPr>
              <w:autoSpaceDN w:val="0"/>
              <w:jc w:val="center"/>
              <w:textAlignment w:val="center"/>
              <w:rPr>
                <w:rFonts w:ascii="仿宋_GB2312" w:hAnsi="仿宋_GB2312" w:eastAsia="仿宋_GB2312"/>
                <w:b/>
                <w:szCs w:val="21"/>
              </w:rPr>
            </w:pPr>
            <w:r>
              <w:rPr>
                <w:b/>
                <w:sz w:val="24"/>
              </w:rPr>
              <w:t>承   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60" w:hRule="atLeast"/>
          <w:jc w:val="center"/>
        </w:trPr>
        <w:tc>
          <w:tcPr>
            <w:tcW w:w="15566" w:type="dxa"/>
            <w:gridSpan w:val="14"/>
            <w:tcBorders>
              <w:left w:val="single" w:color="000000" w:sz="4" w:space="0"/>
              <w:right w:val="single" w:color="000000" w:sz="4" w:space="0"/>
            </w:tcBorders>
            <w:vAlign w:val="top"/>
          </w:tcPr>
          <w:p>
            <w:pPr>
              <w:autoSpaceDN w:val="0"/>
              <w:jc w:val="left"/>
              <w:textAlignment w:val="top"/>
              <w:rPr>
                <w:sz w:val="24"/>
                <w:szCs w:val="24"/>
              </w:rPr>
            </w:pPr>
            <w:r>
              <w:rPr>
                <w:rFonts w:eastAsia="仿宋_GB2312"/>
                <w:sz w:val="24"/>
                <w:szCs w:val="24"/>
              </w:rPr>
              <w:t>1.本人了解《中华人民共和国社会保险法》及相关政策法规关于申领供养亲属抚恤金的规定，符合本业务办理条件，即依靠工亡（残）职工生前提供主要生活来源，无工资、城镇职工基本养老保险金或其他经济收入，并承诺未在本市和外地重复申领供养亲属抚恤金。</w:t>
            </w:r>
          </w:p>
          <w:p>
            <w:pPr>
              <w:autoSpaceDN w:val="0"/>
              <w:jc w:val="left"/>
              <w:textAlignment w:val="top"/>
              <w:rPr>
                <w:sz w:val="24"/>
                <w:szCs w:val="24"/>
              </w:rPr>
            </w:pPr>
            <w:r>
              <w:rPr>
                <w:rFonts w:eastAsia="仿宋_GB2312"/>
                <w:sz w:val="24"/>
                <w:szCs w:val="24"/>
              </w:rPr>
              <w:t>2.本人确认填报和提交的所有信息、资料真实、准确、完整、有效，并授权同意经办机构通过其他部门、机构、企业查询与承诺相关的个人信息，用于核实承诺内容的真实性。</w:t>
            </w:r>
          </w:p>
          <w:p>
            <w:pPr>
              <w:autoSpaceDN w:val="0"/>
              <w:jc w:val="left"/>
              <w:textAlignment w:val="top"/>
              <w:rPr>
                <w:rFonts w:ascii="仿宋_GB2312" w:hAnsi="仿宋_GB2312" w:eastAsia="仿宋_GB2312"/>
                <w:szCs w:val="21"/>
              </w:rPr>
            </w:pPr>
            <w:r>
              <w:rPr>
                <w:rFonts w:eastAsia="仿宋_GB2312"/>
                <w:sz w:val="24"/>
                <w:szCs w:val="24"/>
              </w:rPr>
              <w:t>3.本人知悉如作出不实承诺，将被列入社会保险领域严重失信人名单，相关失信信息将在国家、省和市规定的信用门户网站和人力资源社会保障部门官网等媒介公示，并接受由相关部门实施包括限制乘坐飞机、乘坐高等级列车和席次、获得贷款授信，通报批评，公开谴责等在内的跨部门联合惩戒，涉及犯罪的移交司法机关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15566" w:type="dxa"/>
            <w:gridSpan w:val="14"/>
            <w:tcBorders>
              <w:left w:val="single" w:color="000000" w:sz="4" w:space="0"/>
              <w:right w:val="single" w:color="000000" w:sz="4" w:space="0"/>
            </w:tcBorders>
            <w:vAlign w:val="top"/>
          </w:tcPr>
          <w:p>
            <w:pPr>
              <w:autoSpaceDN w:val="0"/>
              <w:jc w:val="left"/>
              <w:textAlignment w:val="top"/>
              <w:rPr>
                <w:rFonts w:ascii="仿宋_GB2312" w:hAnsi="仿宋_GB2312"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4" w:hRule="atLeast"/>
          <w:jc w:val="center"/>
        </w:trPr>
        <w:tc>
          <w:tcPr>
            <w:tcW w:w="5339" w:type="dxa"/>
            <w:gridSpan w:val="4"/>
            <w:tcBorders>
              <w:left w:val="single" w:color="000000" w:sz="4" w:space="0"/>
            </w:tcBorders>
            <w:vAlign w:val="center"/>
          </w:tcPr>
          <w:p>
            <w:pPr>
              <w:autoSpaceDN w:val="0"/>
              <w:jc w:val="left"/>
              <w:textAlignment w:val="center"/>
              <w:rPr>
                <w:rFonts w:ascii="仿宋_GB2312" w:hAnsi="仿宋_GB2312" w:eastAsia="仿宋_GB2312"/>
                <w:szCs w:val="21"/>
              </w:rPr>
            </w:pPr>
            <w:r>
              <w:rPr>
                <w:rFonts w:ascii="仿宋_GB2312" w:hAnsi="仿宋_GB2312" w:eastAsia="仿宋_GB2312"/>
                <w:szCs w:val="21"/>
              </w:rPr>
              <w:t xml:space="preserve">供养人签名（按指印）：                     </w:t>
            </w:r>
          </w:p>
        </w:tc>
        <w:tc>
          <w:tcPr>
            <w:tcW w:w="5940" w:type="dxa"/>
            <w:gridSpan w:val="7"/>
            <w:vAlign w:val="center"/>
          </w:tcPr>
          <w:p>
            <w:pPr>
              <w:autoSpaceDN w:val="0"/>
              <w:jc w:val="left"/>
              <w:textAlignment w:val="center"/>
              <w:rPr>
                <w:rFonts w:ascii="仿宋_GB2312" w:hAnsi="仿宋_GB2312" w:eastAsia="仿宋_GB2312"/>
                <w:szCs w:val="21"/>
              </w:rPr>
            </w:pPr>
            <w:r>
              <w:rPr>
                <w:rFonts w:ascii="仿宋_GB2312" w:hAnsi="仿宋_GB2312" w:eastAsia="仿宋_GB2312"/>
                <w:szCs w:val="21"/>
              </w:rPr>
              <w:t xml:space="preserve">供养人签名（按指印）：                     </w:t>
            </w:r>
          </w:p>
        </w:tc>
        <w:tc>
          <w:tcPr>
            <w:tcW w:w="4287" w:type="dxa"/>
            <w:gridSpan w:val="3"/>
            <w:tcBorders>
              <w:right w:val="single" w:color="000000" w:sz="4" w:space="0"/>
            </w:tcBorders>
            <w:vAlign w:val="center"/>
          </w:tcPr>
          <w:p>
            <w:pPr>
              <w:autoSpaceDN w:val="0"/>
              <w:jc w:val="left"/>
              <w:textAlignment w:val="center"/>
              <w:rPr>
                <w:rFonts w:ascii="仿宋_GB2312" w:hAnsi="仿宋_GB2312" w:eastAsia="仿宋_GB2312"/>
                <w:szCs w:val="21"/>
              </w:rPr>
            </w:pPr>
            <w:r>
              <w:rPr>
                <w:rFonts w:ascii="仿宋_GB2312" w:hAnsi="仿宋_GB2312" w:eastAsia="仿宋_GB2312"/>
                <w:szCs w:val="21"/>
              </w:rPr>
              <w:t xml:space="preserve">供养人签名（按指印）：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5" w:hRule="atLeast"/>
          <w:jc w:val="center"/>
        </w:trPr>
        <w:tc>
          <w:tcPr>
            <w:tcW w:w="5339" w:type="dxa"/>
            <w:gridSpan w:val="4"/>
            <w:tcBorders>
              <w:left w:val="single" w:color="000000" w:sz="4" w:space="0"/>
            </w:tcBorders>
            <w:vAlign w:val="center"/>
          </w:tcPr>
          <w:p>
            <w:pPr>
              <w:autoSpaceDN w:val="0"/>
              <w:jc w:val="left"/>
              <w:textAlignment w:val="center"/>
              <w:rPr>
                <w:rFonts w:ascii="仿宋_GB2312" w:hAnsi="仿宋_GB2312" w:eastAsia="仿宋_GB2312"/>
                <w:szCs w:val="21"/>
              </w:rPr>
            </w:pPr>
            <w:r>
              <w:rPr>
                <w:rFonts w:ascii="仿宋_GB2312" w:hAnsi="仿宋_GB2312" w:eastAsia="仿宋_GB2312"/>
                <w:szCs w:val="21"/>
              </w:rPr>
              <w:t xml:space="preserve">代办人签名（按指印）： </w:t>
            </w:r>
          </w:p>
        </w:tc>
        <w:tc>
          <w:tcPr>
            <w:tcW w:w="5940" w:type="dxa"/>
            <w:gridSpan w:val="7"/>
            <w:vAlign w:val="center"/>
          </w:tcPr>
          <w:p>
            <w:pPr>
              <w:autoSpaceDN w:val="0"/>
              <w:jc w:val="left"/>
              <w:textAlignment w:val="center"/>
              <w:rPr>
                <w:rFonts w:ascii="仿宋_GB2312" w:hAnsi="仿宋_GB2312" w:eastAsia="仿宋_GB2312"/>
                <w:szCs w:val="21"/>
              </w:rPr>
            </w:pPr>
            <w:r>
              <w:rPr>
                <w:rFonts w:ascii="仿宋_GB2312" w:hAnsi="仿宋_GB2312" w:eastAsia="仿宋_GB2312"/>
                <w:szCs w:val="21"/>
              </w:rPr>
              <w:t xml:space="preserve">代办人签名（按指印）： </w:t>
            </w:r>
          </w:p>
        </w:tc>
        <w:tc>
          <w:tcPr>
            <w:tcW w:w="4287" w:type="dxa"/>
            <w:gridSpan w:val="3"/>
            <w:tcBorders>
              <w:right w:val="single" w:color="000000" w:sz="4" w:space="0"/>
            </w:tcBorders>
            <w:vAlign w:val="center"/>
          </w:tcPr>
          <w:p>
            <w:pPr>
              <w:autoSpaceDN w:val="0"/>
              <w:jc w:val="left"/>
              <w:textAlignment w:val="center"/>
              <w:rPr>
                <w:rFonts w:ascii="仿宋_GB2312" w:hAnsi="仿宋_GB2312" w:eastAsia="仿宋_GB2312"/>
                <w:szCs w:val="21"/>
              </w:rPr>
            </w:pPr>
            <w:r>
              <w:rPr>
                <w:rFonts w:ascii="仿宋_GB2312" w:hAnsi="仿宋_GB2312" w:eastAsia="仿宋_GB2312"/>
                <w:szCs w:val="21"/>
              </w:rPr>
              <w:t xml:space="preserve">代办人签名（按指印）：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jc w:val="center"/>
        </w:trPr>
        <w:tc>
          <w:tcPr>
            <w:tcW w:w="5339" w:type="dxa"/>
            <w:gridSpan w:val="4"/>
            <w:tcBorders>
              <w:left w:val="single" w:color="000000" w:sz="4" w:space="0"/>
            </w:tcBorders>
            <w:vAlign w:val="center"/>
          </w:tcPr>
          <w:p>
            <w:pPr>
              <w:autoSpaceDN w:val="0"/>
              <w:jc w:val="left"/>
              <w:textAlignment w:val="center"/>
              <w:rPr>
                <w:rFonts w:ascii="仿宋_GB2312" w:hAnsi="仿宋_GB2312" w:eastAsia="仿宋_GB2312"/>
                <w:szCs w:val="21"/>
              </w:rPr>
            </w:pPr>
            <w:r>
              <w:rPr>
                <w:rFonts w:ascii="仿宋_GB2312" w:hAnsi="仿宋_GB2312" w:eastAsia="仿宋_GB2312"/>
                <w:szCs w:val="21"/>
              </w:rPr>
              <w:t>申请日期：   年    月    日</w:t>
            </w:r>
          </w:p>
        </w:tc>
        <w:tc>
          <w:tcPr>
            <w:tcW w:w="5940" w:type="dxa"/>
            <w:gridSpan w:val="7"/>
            <w:vAlign w:val="center"/>
          </w:tcPr>
          <w:p>
            <w:pPr>
              <w:autoSpaceDN w:val="0"/>
              <w:jc w:val="left"/>
              <w:textAlignment w:val="center"/>
              <w:rPr>
                <w:rFonts w:ascii="仿宋_GB2312" w:hAnsi="仿宋_GB2312" w:eastAsia="仿宋_GB2312"/>
                <w:szCs w:val="21"/>
              </w:rPr>
            </w:pPr>
            <w:r>
              <w:rPr>
                <w:rFonts w:ascii="仿宋_GB2312" w:hAnsi="仿宋_GB2312" w:eastAsia="仿宋_GB2312"/>
                <w:szCs w:val="21"/>
              </w:rPr>
              <w:t>申请日期：    年    月   日</w:t>
            </w:r>
          </w:p>
        </w:tc>
        <w:tc>
          <w:tcPr>
            <w:tcW w:w="4287" w:type="dxa"/>
            <w:gridSpan w:val="3"/>
            <w:tcBorders>
              <w:right w:val="single" w:color="000000" w:sz="4" w:space="0"/>
            </w:tcBorders>
            <w:vAlign w:val="center"/>
          </w:tcPr>
          <w:p>
            <w:pPr>
              <w:autoSpaceDN w:val="0"/>
              <w:jc w:val="left"/>
              <w:textAlignment w:val="center"/>
              <w:rPr>
                <w:rFonts w:ascii="仿宋_GB2312" w:hAnsi="仿宋_GB2312" w:eastAsia="仿宋_GB2312"/>
                <w:szCs w:val="21"/>
              </w:rPr>
            </w:pPr>
            <w:r>
              <w:rPr>
                <w:rFonts w:ascii="仿宋_GB2312" w:hAnsi="仿宋_GB2312" w:eastAsia="仿宋_GB2312"/>
                <w:szCs w:val="21"/>
              </w:rPr>
              <w:t>申请日期：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jc w:val="center"/>
        </w:trPr>
        <w:tc>
          <w:tcPr>
            <w:tcW w:w="15566" w:type="dxa"/>
            <w:gridSpan w:val="14"/>
            <w:tcBorders>
              <w:left w:val="single" w:color="000000" w:sz="4" w:space="0"/>
              <w:bottom w:val="single" w:color="auto" w:sz="4" w:space="0"/>
              <w:right w:val="single" w:color="000000" w:sz="4" w:space="0"/>
            </w:tcBorders>
            <w:vAlign w:val="center"/>
          </w:tcPr>
          <w:p>
            <w:pPr>
              <w:autoSpaceDN w:val="0"/>
              <w:textAlignment w:val="center"/>
              <w:rPr>
                <w:rFonts w:ascii="黑体" w:hAnsi="黑体" w:eastAsia="黑体"/>
                <w:szCs w:val="21"/>
              </w:rPr>
            </w:pPr>
            <w:r>
              <w:rPr>
                <w:rFonts w:ascii="黑体" w:hAnsi="黑体" w:eastAsia="黑体"/>
                <w:szCs w:val="21"/>
              </w:rPr>
              <w:t>反欺诈法律提示：</w:t>
            </w:r>
            <w:r>
              <w:rPr>
                <w:rFonts w:ascii="仿宋_GB2312" w:hAnsi="仿宋_GB2312" w:eastAsia="仿宋_GB2312"/>
                <w:szCs w:val="21"/>
              </w:rPr>
              <w:t>以欺诈、伪造证明材料或者其他手段骗取社会保险待遇的，属于刑法第二百六十六条规定的诈骗公私财物的行为，将依法追究刑事责任。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15566" w:type="dxa"/>
            <w:gridSpan w:val="14"/>
            <w:tcBorders>
              <w:top w:val="single" w:color="auto" w:sz="4" w:space="0"/>
              <w:left w:val="nil"/>
              <w:bottom w:val="nil"/>
              <w:right w:val="nil"/>
            </w:tcBorders>
            <w:vAlign w:val="center"/>
          </w:tcPr>
          <w:p>
            <w:pPr>
              <w:autoSpaceDN w:val="0"/>
              <w:jc w:val="left"/>
              <w:textAlignment w:val="center"/>
              <w:rPr>
                <w:rFonts w:ascii="仿宋_GB2312" w:hAnsi="仿宋_GB2312" w:eastAsia="仿宋_GB2312"/>
                <w:szCs w:val="21"/>
              </w:rPr>
            </w:pPr>
            <w:r>
              <w:rPr>
                <w:rFonts w:ascii="仿宋_GB2312" w:hAnsi="仿宋_GB2312" w:eastAsia="仿宋_GB2312"/>
                <w:b/>
                <w:bCs/>
                <w:szCs w:val="21"/>
              </w:rPr>
              <w:t>备注：</w:t>
            </w:r>
            <w:r>
              <w:rPr>
                <w:rFonts w:ascii="仿宋_GB2312" w:hAnsi="仿宋_GB2312" w:eastAsia="仿宋_GB2312"/>
                <w:szCs w:val="21"/>
              </w:rPr>
              <w:t>1.供养亲属需提供本人实名开立的银行账户资料。若无法提供本人实名开立银行账户资料的，需提交经当地公证机关公证的委托书；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15566" w:type="dxa"/>
            <w:gridSpan w:val="14"/>
            <w:tcBorders>
              <w:top w:val="nil"/>
              <w:left w:val="nil"/>
              <w:bottom w:val="nil"/>
              <w:right w:val="nil"/>
            </w:tcBorders>
            <w:vAlign w:val="center"/>
          </w:tcPr>
          <w:p>
            <w:pPr>
              <w:autoSpaceDN w:val="0"/>
              <w:jc w:val="left"/>
              <w:textAlignment w:val="center"/>
              <w:rPr>
                <w:rFonts w:ascii="仿宋_GB2312" w:hAnsi="仿宋_GB2312" w:eastAsia="仿宋_GB2312"/>
                <w:szCs w:val="21"/>
              </w:rPr>
            </w:pPr>
            <w:r>
              <w:rPr>
                <w:rFonts w:ascii="仿宋_GB2312" w:hAnsi="仿宋_GB2312" w:eastAsia="仿宋_GB2312"/>
                <w:szCs w:val="21"/>
              </w:rPr>
              <w:t xml:space="preserve">      2.非完全民事行为能力人可由其合法监护人代理签名确认同时提供监护人的证明材料和本人的身份证件（核原件）；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jc w:val="center"/>
        </w:trPr>
        <w:tc>
          <w:tcPr>
            <w:tcW w:w="15566" w:type="dxa"/>
            <w:gridSpan w:val="14"/>
            <w:tcBorders>
              <w:top w:val="nil"/>
              <w:left w:val="nil"/>
              <w:bottom w:val="nil"/>
              <w:right w:val="nil"/>
            </w:tcBorders>
            <w:vAlign w:val="center"/>
          </w:tcPr>
          <w:p>
            <w:pPr>
              <w:autoSpaceDN w:val="0"/>
              <w:jc w:val="left"/>
              <w:textAlignment w:val="center"/>
              <w:rPr>
                <w:rFonts w:ascii="仿宋_GB2312" w:hAnsi="仿宋_GB2312" w:eastAsia="仿宋_GB2312"/>
                <w:szCs w:val="21"/>
              </w:rPr>
            </w:pPr>
            <w:r>
              <w:rPr>
                <w:rFonts w:ascii="仿宋_GB2312" w:hAnsi="仿宋_GB2312" w:eastAsia="仿宋_GB2312"/>
                <w:szCs w:val="21"/>
              </w:rPr>
              <w:t xml:space="preserve">      3.领取供养亲属抚恤金人员应按规定进行待遇领取资格认证；认证周期为12个月。未按规定进行资格认证的，工伤保险基金将暂停发放待遇。</w:t>
            </w:r>
          </w:p>
        </w:tc>
      </w:tr>
    </w:tbl>
    <w:p/>
    <w:p/>
    <w:p/>
    <w:p/>
    <w:p/>
    <w:p/>
    <w:p/>
    <w:p/>
    <w:p>
      <w:pPr>
        <w:framePr w:hSpace="180" w:wrap="around" w:vAnchor="text" w:hAnchor="page" w:xAlign="center" w:y="150"/>
        <w:autoSpaceDN w:val="0"/>
        <w:spacing w:line="280" w:lineRule="exact"/>
        <w:jc w:val="center"/>
        <w:textAlignment w:val="center"/>
        <w:rPr>
          <w:rFonts w:ascii="仿宋_GB2312" w:hAnsi="仿宋_GB2312"/>
          <w:b/>
          <w:sz w:val="28"/>
          <w:szCs w:val="28"/>
        </w:rPr>
      </w:pPr>
    </w:p>
    <w:p>
      <w:pPr>
        <w:framePr w:hSpace="180" w:wrap="around" w:vAnchor="text" w:hAnchor="page" w:xAlign="center" w:y="150"/>
        <w:autoSpaceDN w:val="0"/>
        <w:spacing w:line="280" w:lineRule="exact"/>
        <w:jc w:val="center"/>
        <w:textAlignment w:val="center"/>
        <w:rPr>
          <w:rFonts w:ascii="仿宋_GB2312" w:hAnsi="仿宋_GB2312"/>
          <w:b/>
          <w:sz w:val="28"/>
          <w:szCs w:val="28"/>
        </w:rPr>
      </w:pPr>
    </w:p>
    <w:p>
      <w:pPr>
        <w:framePr w:hSpace="180" w:wrap="around" w:vAnchor="text" w:hAnchor="page" w:xAlign="center" w:y="150"/>
        <w:autoSpaceDN w:val="0"/>
        <w:spacing w:line="280" w:lineRule="exact"/>
        <w:jc w:val="center"/>
        <w:textAlignment w:val="center"/>
        <w:rPr>
          <w:rFonts w:ascii="仿宋_GB2312" w:hAnsi="仿宋_GB2312"/>
          <w:b/>
          <w:sz w:val="28"/>
          <w:szCs w:val="28"/>
        </w:rPr>
      </w:pPr>
      <w:r>
        <w:rPr>
          <w:rFonts w:hint="eastAsia" w:ascii="仿宋_GB2312" w:hAnsi="仿宋_GB2312"/>
          <w:b/>
          <w:sz w:val="28"/>
          <w:szCs w:val="28"/>
        </w:rPr>
        <w:t>因工死亡职工供养亲属范围规定</w:t>
      </w:r>
    </w:p>
    <w:p>
      <w:pPr>
        <w:framePr w:hSpace="180" w:wrap="around" w:vAnchor="text" w:hAnchor="page" w:xAlign="center" w:y="150"/>
        <w:autoSpaceDN w:val="0"/>
        <w:spacing w:line="280" w:lineRule="exact"/>
        <w:jc w:val="center"/>
        <w:textAlignment w:val="center"/>
        <w:rPr>
          <w:rFonts w:ascii="仿宋_GB2312" w:hAnsi="仿宋_GB2312"/>
          <w:b/>
          <w:sz w:val="24"/>
        </w:rPr>
      </w:pPr>
      <w:r>
        <w:rPr>
          <w:rFonts w:hint="eastAsia" w:ascii="仿宋_GB2312" w:hAnsi="仿宋_GB2312"/>
          <w:b/>
          <w:sz w:val="24"/>
        </w:rPr>
        <w:t>（</w:t>
      </w:r>
      <w:r>
        <w:rPr>
          <w:rFonts w:ascii="仿宋_GB2312" w:hAnsi="仿宋_GB2312"/>
          <w:b/>
          <w:sz w:val="24"/>
        </w:rPr>
        <w:t>中华人民共和</w:t>
      </w:r>
      <w:r>
        <w:rPr>
          <w:rFonts w:hint="eastAsia" w:ascii="仿宋_GB2312" w:hAnsi="仿宋_GB2312"/>
          <w:b/>
          <w:sz w:val="24"/>
        </w:rPr>
        <w:t>国</w:t>
      </w:r>
      <w:r>
        <w:rPr>
          <w:rFonts w:ascii="仿宋_GB2312" w:hAnsi="仿宋_GB2312"/>
          <w:b/>
          <w:sz w:val="24"/>
        </w:rPr>
        <w:t>劳动和社会保障部</w:t>
      </w:r>
      <w:r>
        <w:rPr>
          <w:rFonts w:hint="eastAsia" w:ascii="仿宋_GB2312" w:hAnsi="仿宋_GB2312"/>
          <w:b/>
          <w:sz w:val="24"/>
        </w:rPr>
        <w:t>令</w:t>
      </w:r>
      <w:r>
        <w:rPr>
          <w:rFonts w:ascii="仿宋_GB2312" w:hAnsi="仿宋_GB2312"/>
          <w:b/>
          <w:sz w:val="24"/>
        </w:rPr>
        <w:t>第</w:t>
      </w:r>
      <w:r>
        <w:rPr>
          <w:rFonts w:hint="eastAsia" w:ascii="仿宋_GB2312" w:hAnsi="仿宋_GB2312"/>
          <w:b/>
          <w:sz w:val="24"/>
        </w:rPr>
        <w:t>18号</w:t>
      </w:r>
      <w:r>
        <w:rPr>
          <w:rFonts w:ascii="仿宋_GB2312" w:hAnsi="仿宋_GB2312"/>
          <w:b/>
          <w:sz w:val="24"/>
        </w:rPr>
        <w:t>）</w:t>
      </w:r>
    </w:p>
    <w:p>
      <w:pPr>
        <w:framePr w:hSpace="180" w:wrap="around" w:vAnchor="text" w:hAnchor="page" w:xAlign="center" w:y="150"/>
        <w:autoSpaceDN w:val="0"/>
        <w:spacing w:line="360" w:lineRule="exact"/>
        <w:jc w:val="left"/>
        <w:textAlignment w:val="center"/>
        <w:rPr>
          <w:rFonts w:ascii="仿宋_GB2312" w:hAnsi="仿宋_GB2312"/>
          <w:sz w:val="24"/>
        </w:rPr>
      </w:pPr>
      <w:r>
        <w:rPr>
          <w:rFonts w:hint="eastAsia" w:ascii="仿宋_GB2312" w:hAnsi="仿宋_GB2312"/>
          <w:sz w:val="24"/>
        </w:rPr>
        <w:t xml:space="preserve"> </w:t>
      </w:r>
    </w:p>
    <w:p>
      <w:pPr>
        <w:framePr w:hSpace="180" w:wrap="around" w:vAnchor="text" w:hAnchor="page" w:xAlign="center" w:y="150"/>
        <w:autoSpaceDN w:val="0"/>
        <w:spacing w:line="300" w:lineRule="exact"/>
        <w:ind w:firstLine="422" w:firstLineChars="200"/>
        <w:jc w:val="left"/>
        <w:textAlignment w:val="center"/>
        <w:rPr>
          <w:rFonts w:ascii="仿宋_GB2312" w:hAnsi="仿宋_GB2312"/>
          <w:szCs w:val="21"/>
        </w:rPr>
      </w:pPr>
      <w:r>
        <w:rPr>
          <w:rFonts w:hint="eastAsia" w:ascii="仿宋_GB2312" w:hAnsi="仿宋_GB2312"/>
          <w:b/>
          <w:szCs w:val="21"/>
        </w:rPr>
        <w:t>第一条</w:t>
      </w:r>
      <w:r>
        <w:rPr>
          <w:rFonts w:hint="eastAsia" w:ascii="仿宋_GB2312" w:hAnsi="仿宋_GB2312"/>
          <w:szCs w:val="21"/>
        </w:rPr>
        <w:t xml:space="preserve"> 为明确因工死亡职工供养亲属范围，根据《工伤保险条例》第三十七条第一款第二项的授权，制定本规定。 </w:t>
      </w:r>
    </w:p>
    <w:p>
      <w:pPr>
        <w:framePr w:hSpace="180" w:wrap="around" w:vAnchor="text" w:hAnchor="page" w:xAlign="center" w:y="150"/>
        <w:autoSpaceDN w:val="0"/>
        <w:spacing w:line="300" w:lineRule="exact"/>
        <w:jc w:val="left"/>
        <w:textAlignment w:val="center"/>
        <w:rPr>
          <w:rFonts w:ascii="仿宋_GB2312" w:hAnsi="仿宋_GB2312"/>
          <w:szCs w:val="21"/>
        </w:rPr>
      </w:pPr>
      <w:r>
        <w:rPr>
          <w:rFonts w:hint="eastAsia" w:ascii="仿宋_GB2312" w:hAnsi="仿宋_GB2312"/>
          <w:szCs w:val="21"/>
        </w:rPr>
        <w:t xml:space="preserve">　 </w:t>
      </w:r>
      <w:r>
        <w:rPr>
          <w:rFonts w:hint="eastAsia" w:ascii="仿宋_GB2312" w:hAnsi="仿宋_GB2312"/>
          <w:b/>
          <w:szCs w:val="21"/>
        </w:rPr>
        <w:t xml:space="preserve"> 第二条</w:t>
      </w:r>
      <w:r>
        <w:rPr>
          <w:rFonts w:hint="eastAsia" w:ascii="仿宋_GB2312" w:hAnsi="仿宋_GB2312"/>
          <w:szCs w:val="21"/>
        </w:rPr>
        <w:t xml:space="preserve"> 本规定所称因工死亡职工供养亲属，是指该职工的配偶、子女、父母、祖父母、外祖父母、孙子女、外孙子女、兄弟姐妹。</w:t>
      </w:r>
    </w:p>
    <w:p>
      <w:pPr>
        <w:framePr w:hSpace="180" w:wrap="around" w:vAnchor="text" w:hAnchor="page" w:xAlign="center" w:y="150"/>
        <w:autoSpaceDN w:val="0"/>
        <w:spacing w:line="300" w:lineRule="exact"/>
        <w:jc w:val="left"/>
        <w:textAlignment w:val="center"/>
        <w:rPr>
          <w:rFonts w:ascii="仿宋_GB2312" w:hAnsi="仿宋_GB2312"/>
          <w:szCs w:val="21"/>
        </w:rPr>
      </w:pPr>
      <w:r>
        <w:rPr>
          <w:rFonts w:hint="eastAsia" w:ascii="仿宋_GB2312" w:hAnsi="仿宋_GB2312"/>
          <w:szCs w:val="21"/>
        </w:rPr>
        <w:t>　　本规定所称子女，包括婚生子女、非婚生子女、养子女和有抚养关系的继子女，其中，婚生子女、非婚生子女包括遗腹子女；</w:t>
      </w:r>
    </w:p>
    <w:p>
      <w:pPr>
        <w:framePr w:hSpace="180" w:wrap="around" w:vAnchor="text" w:hAnchor="page" w:xAlign="center" w:y="150"/>
        <w:autoSpaceDN w:val="0"/>
        <w:spacing w:line="300" w:lineRule="exact"/>
        <w:jc w:val="left"/>
        <w:textAlignment w:val="center"/>
        <w:rPr>
          <w:rFonts w:ascii="仿宋_GB2312" w:hAnsi="仿宋_GB2312"/>
          <w:szCs w:val="21"/>
        </w:rPr>
      </w:pPr>
      <w:r>
        <w:rPr>
          <w:rFonts w:hint="eastAsia" w:ascii="仿宋_GB2312" w:hAnsi="仿宋_GB2312"/>
          <w:szCs w:val="21"/>
        </w:rPr>
        <w:t>　　本规定所称父母，包括生父母、养父母和有抚养关系的继父母；</w:t>
      </w:r>
    </w:p>
    <w:p>
      <w:pPr>
        <w:framePr w:hSpace="180" w:wrap="around" w:vAnchor="text" w:hAnchor="page" w:xAlign="center" w:y="150"/>
        <w:autoSpaceDN w:val="0"/>
        <w:spacing w:line="300" w:lineRule="exact"/>
        <w:jc w:val="left"/>
        <w:textAlignment w:val="center"/>
        <w:rPr>
          <w:rFonts w:ascii="仿宋_GB2312" w:hAnsi="仿宋_GB2312"/>
          <w:szCs w:val="21"/>
        </w:rPr>
      </w:pPr>
      <w:r>
        <w:rPr>
          <w:rFonts w:hint="eastAsia" w:ascii="仿宋_GB2312" w:hAnsi="仿宋_GB2312"/>
          <w:szCs w:val="21"/>
        </w:rPr>
        <w:t xml:space="preserve">　　本规定所称兄弟姐妹，包括同父母的兄弟姐妹、同父异母或者同母异父的兄弟姐妹、养兄弟姐妹、有抚养关系的继兄弟姐妹。 </w:t>
      </w:r>
    </w:p>
    <w:p>
      <w:pPr>
        <w:framePr w:hSpace="180" w:wrap="around" w:vAnchor="text" w:hAnchor="page" w:xAlign="center" w:y="150"/>
        <w:autoSpaceDN w:val="0"/>
        <w:spacing w:line="300" w:lineRule="exact"/>
        <w:jc w:val="left"/>
        <w:textAlignment w:val="center"/>
        <w:rPr>
          <w:rFonts w:ascii="仿宋_GB2312" w:hAnsi="仿宋_GB2312"/>
          <w:szCs w:val="21"/>
        </w:rPr>
      </w:pPr>
      <w:r>
        <w:rPr>
          <w:rFonts w:hint="eastAsia" w:ascii="仿宋_GB2312" w:hAnsi="仿宋_GB2312"/>
          <w:szCs w:val="21"/>
        </w:rPr>
        <w:t xml:space="preserve">　  </w:t>
      </w:r>
      <w:r>
        <w:rPr>
          <w:rFonts w:hint="eastAsia" w:ascii="仿宋_GB2312" w:hAnsi="仿宋_GB2312"/>
          <w:b/>
          <w:szCs w:val="21"/>
        </w:rPr>
        <w:t>第三条</w:t>
      </w:r>
      <w:r>
        <w:rPr>
          <w:rFonts w:hint="eastAsia" w:ascii="仿宋_GB2312" w:hAnsi="仿宋_GB2312"/>
          <w:szCs w:val="21"/>
        </w:rPr>
        <w:t xml:space="preserve"> </w:t>
      </w:r>
      <w:r>
        <w:rPr>
          <w:rFonts w:hint="eastAsia" w:ascii="仿宋_GB2312" w:hAnsi="仿宋_GB2312"/>
          <w:b/>
          <w:szCs w:val="21"/>
        </w:rPr>
        <w:t>上条规定的人员，依靠因工死亡职工生前提供主要生活来源，并有下列情形之一的，可按规定申请供养亲属抚恤金：</w:t>
      </w:r>
    </w:p>
    <w:p>
      <w:pPr>
        <w:framePr w:hSpace="180" w:wrap="around" w:vAnchor="text" w:hAnchor="page" w:xAlign="center" w:y="150"/>
        <w:autoSpaceDN w:val="0"/>
        <w:spacing w:line="300" w:lineRule="exact"/>
        <w:jc w:val="left"/>
        <w:textAlignment w:val="center"/>
        <w:rPr>
          <w:rFonts w:ascii="仿宋_GB2312" w:hAnsi="仿宋_GB2312"/>
          <w:szCs w:val="21"/>
        </w:rPr>
      </w:pPr>
      <w:r>
        <w:rPr>
          <w:rFonts w:hint="eastAsia" w:ascii="仿宋_GB2312" w:hAnsi="仿宋_GB2312"/>
          <w:szCs w:val="21"/>
        </w:rPr>
        <w:t xml:space="preserve">　　（一）完全丧失劳动能力的；（二）工亡职工配偶男年满6O周岁、女年满55周岁的；（三）工亡职工父母男年满60周岁、女年满55周岁的；（四）工亡职工子女未满18周岁的；（五）工亡职工父母均已死亡，其祖父、外祖父年满60周岁，祖母、外祖母年满55周岁的；（六）工亡职工子女已经死亡或完全丧失劳动能力，其孙子女、外孙子女未满18周岁的；（七）工亡职工父母均已死亡或完全丧失劳动能力，其兄弟姐妹未满18周岁的。 </w:t>
      </w:r>
    </w:p>
    <w:p>
      <w:pPr>
        <w:framePr w:hSpace="180" w:wrap="around" w:vAnchor="text" w:hAnchor="page" w:xAlign="center" w:y="150"/>
        <w:autoSpaceDN w:val="0"/>
        <w:spacing w:line="300" w:lineRule="exact"/>
        <w:jc w:val="left"/>
        <w:textAlignment w:val="center"/>
        <w:rPr>
          <w:rFonts w:ascii="仿宋_GB2312" w:hAnsi="仿宋_GB2312"/>
          <w:szCs w:val="21"/>
        </w:rPr>
      </w:pPr>
      <w:r>
        <w:rPr>
          <w:rFonts w:hint="eastAsia" w:ascii="仿宋_GB2312" w:hAnsi="仿宋_GB2312"/>
          <w:szCs w:val="21"/>
        </w:rPr>
        <w:t xml:space="preserve">　 </w:t>
      </w:r>
      <w:r>
        <w:rPr>
          <w:rFonts w:hint="eastAsia" w:ascii="仿宋_GB2312" w:hAnsi="仿宋_GB2312"/>
          <w:b/>
          <w:szCs w:val="21"/>
        </w:rPr>
        <w:t xml:space="preserve"> 第四条</w:t>
      </w:r>
      <w:r>
        <w:rPr>
          <w:rFonts w:hint="eastAsia" w:ascii="仿宋_GB2312" w:hAnsi="仿宋_GB2312"/>
          <w:szCs w:val="21"/>
        </w:rPr>
        <w:t xml:space="preserve"> 领取抚恤金人员有下列情形之一的，停止享受抚恤金待遇：</w:t>
      </w:r>
    </w:p>
    <w:p>
      <w:pPr>
        <w:framePr w:hSpace="180" w:wrap="around" w:vAnchor="text" w:hAnchor="page" w:xAlign="center" w:y="150"/>
        <w:autoSpaceDN w:val="0"/>
        <w:spacing w:line="300" w:lineRule="exact"/>
        <w:jc w:val="left"/>
        <w:textAlignment w:val="center"/>
        <w:rPr>
          <w:rFonts w:ascii="仿宋_GB2312" w:hAnsi="仿宋_GB2312"/>
          <w:szCs w:val="21"/>
        </w:rPr>
      </w:pPr>
      <w:r>
        <w:rPr>
          <w:rFonts w:hint="eastAsia" w:ascii="仿宋_GB2312" w:hAnsi="仿宋_GB2312"/>
          <w:szCs w:val="21"/>
        </w:rPr>
        <w:t xml:space="preserve">　  （一）年满18周岁且未完全丧失劳动能力的；（二）就业或参军的；（三）工亡职工配偶再婚的；（四）被他人或组织收养的；（五）死亡的。 </w:t>
      </w:r>
    </w:p>
    <w:p>
      <w:pPr>
        <w:framePr w:hSpace="180" w:wrap="around" w:vAnchor="text" w:hAnchor="page" w:xAlign="center" w:y="150"/>
        <w:autoSpaceDN w:val="0"/>
        <w:spacing w:line="300" w:lineRule="exact"/>
        <w:jc w:val="left"/>
        <w:textAlignment w:val="center"/>
        <w:rPr>
          <w:rFonts w:ascii="仿宋_GB2312" w:hAnsi="仿宋_GB2312"/>
          <w:szCs w:val="21"/>
        </w:rPr>
      </w:pPr>
      <w:r>
        <w:rPr>
          <w:rFonts w:hint="eastAsia" w:ascii="仿宋_GB2312" w:hAnsi="仿宋_GB2312"/>
          <w:szCs w:val="21"/>
        </w:rPr>
        <w:t xml:space="preserve">　  </w:t>
      </w:r>
      <w:r>
        <w:rPr>
          <w:rFonts w:hint="eastAsia" w:ascii="仿宋_GB2312" w:hAnsi="仿宋_GB2312"/>
          <w:b/>
          <w:szCs w:val="21"/>
        </w:rPr>
        <w:t xml:space="preserve">第五条 </w:t>
      </w:r>
      <w:r>
        <w:rPr>
          <w:rFonts w:hint="eastAsia" w:ascii="仿宋_GB2312" w:hAnsi="仿宋_GB2312"/>
          <w:szCs w:val="21"/>
        </w:rPr>
        <w:t xml:space="preserve">领取抚恤金的人员，在被判刑收监执行期间，停止享受抚恤金待遇。刑满释放仍符合领取抚恤金资格的，按规定的标准享受抚恤金。 </w:t>
      </w:r>
    </w:p>
    <w:p>
      <w:pPr>
        <w:framePr w:hSpace="180" w:wrap="around" w:vAnchor="text" w:hAnchor="page" w:xAlign="center" w:y="150"/>
        <w:autoSpaceDN w:val="0"/>
        <w:spacing w:line="300" w:lineRule="exact"/>
        <w:jc w:val="left"/>
        <w:textAlignment w:val="center"/>
        <w:rPr>
          <w:rFonts w:ascii="仿宋_GB2312" w:hAnsi="仿宋_GB2312"/>
          <w:szCs w:val="21"/>
        </w:rPr>
      </w:pPr>
      <w:r>
        <w:rPr>
          <w:rFonts w:hint="eastAsia" w:ascii="仿宋_GB2312" w:hAnsi="仿宋_GB2312"/>
          <w:szCs w:val="21"/>
        </w:rPr>
        <w:t xml:space="preserve">　  </w:t>
      </w:r>
      <w:r>
        <w:rPr>
          <w:rFonts w:hint="eastAsia" w:ascii="仿宋_GB2312" w:hAnsi="仿宋_GB2312"/>
          <w:b/>
          <w:szCs w:val="21"/>
        </w:rPr>
        <w:t>第六条</w:t>
      </w:r>
      <w:r>
        <w:rPr>
          <w:rFonts w:hint="eastAsia" w:ascii="仿宋_GB2312" w:hAnsi="仿宋_GB2312"/>
          <w:szCs w:val="21"/>
        </w:rPr>
        <w:t xml:space="preserve"> 因工死亡职工供养亲属享受抚恤金待遇的资格，由统筹地区社会保险经办机构核定。</w:t>
      </w:r>
    </w:p>
    <w:p>
      <w:pPr>
        <w:framePr w:hSpace="180" w:wrap="around" w:vAnchor="text" w:hAnchor="page" w:xAlign="center" w:y="150"/>
        <w:autoSpaceDN w:val="0"/>
        <w:spacing w:line="300" w:lineRule="exact"/>
        <w:jc w:val="left"/>
        <w:textAlignment w:val="center"/>
        <w:rPr>
          <w:rFonts w:ascii="仿宋_GB2312" w:hAnsi="仿宋_GB2312"/>
          <w:szCs w:val="21"/>
        </w:rPr>
      </w:pPr>
      <w:r>
        <w:rPr>
          <w:rFonts w:hint="eastAsia" w:ascii="仿宋_GB2312" w:hAnsi="仿宋_GB2312"/>
          <w:szCs w:val="21"/>
        </w:rPr>
        <w:t xml:space="preserve">　　因工死亡职工供养亲属的劳动能力鉴定，由因工死亡职工生前单位所在地设区的市级劳动能力鉴定委员会负责。 </w:t>
      </w:r>
    </w:p>
    <w:p>
      <w:pPr>
        <w:framePr w:hSpace="180" w:wrap="around" w:vAnchor="text" w:hAnchor="page" w:xAlign="center" w:y="150"/>
        <w:autoSpaceDN w:val="0"/>
        <w:spacing w:line="300" w:lineRule="exact"/>
        <w:jc w:val="left"/>
        <w:textAlignment w:val="center"/>
        <w:rPr>
          <w:rFonts w:ascii="仿宋_GB2312" w:hAnsi="仿宋_GB2312"/>
          <w:szCs w:val="21"/>
        </w:rPr>
      </w:pPr>
      <w:r>
        <w:rPr>
          <w:rFonts w:hint="eastAsia" w:ascii="仿宋_GB2312" w:hAnsi="仿宋_GB2312"/>
          <w:szCs w:val="21"/>
        </w:rPr>
        <w:t xml:space="preserve">　 </w:t>
      </w:r>
      <w:r>
        <w:rPr>
          <w:rFonts w:hint="eastAsia" w:ascii="仿宋_GB2312" w:hAnsi="仿宋_GB2312"/>
          <w:b/>
          <w:szCs w:val="21"/>
        </w:rPr>
        <w:t xml:space="preserve"> 第七条</w:t>
      </w:r>
      <w:r>
        <w:rPr>
          <w:rFonts w:hint="eastAsia" w:ascii="仿宋_GB2312" w:hAnsi="仿宋_GB2312"/>
          <w:szCs w:val="21"/>
        </w:rPr>
        <w:t xml:space="preserve"> 本办法自2004年1月1日起施行。 　　　</w:t>
      </w:r>
    </w:p>
    <w:p>
      <w:pPr>
        <w:spacing w:line="280" w:lineRule="exact"/>
      </w:pPr>
      <w:r>
        <w:rPr>
          <w:rFonts w:hint="eastAsia" w:ascii="仿宋_GB2312" w:hAnsi="仿宋_GB2312"/>
          <w:szCs w:val="21"/>
        </w:rPr>
        <w:t xml:space="preserve">　　　　　　　　　　　　　　　　　　　　　　　　　　　                                                   </w:t>
      </w:r>
      <w:r>
        <w:rPr>
          <w:rFonts w:hint="eastAsia" w:ascii="仿宋_GB2312" w:hAnsi="仿宋_GB2312"/>
          <w:b/>
          <w:szCs w:val="21"/>
        </w:rPr>
        <w:t>劳动和社会保障部办公厅</w:t>
      </w:r>
    </w:p>
    <w:p/>
    <w:p/>
    <w:sectPr>
      <w:pgSz w:w="16838" w:h="11906" w:orient="landscape"/>
      <w:pgMar w:top="567" w:right="1440" w:bottom="567"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20C8D"/>
    <w:rsid w:val="00947008"/>
    <w:rsid w:val="00C20C8D"/>
    <w:rsid w:val="00F4400A"/>
    <w:rsid w:val="0FEA5986"/>
    <w:rsid w:val="13E43D34"/>
    <w:rsid w:val="16F93422"/>
    <w:rsid w:val="2D6E18E4"/>
    <w:rsid w:val="3BC87170"/>
    <w:rsid w:val="41B100BA"/>
    <w:rsid w:val="6D76082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line="372" w:lineRule="auto"/>
      <w:jc w:val="center"/>
      <w:outlineLvl w:val="3"/>
    </w:pPr>
    <w:rPr>
      <w:rFonts w:ascii="Arial" w:hAnsi="Arial" w:eastAsia="黑体"/>
      <w:sz w:val="32"/>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kern w:val="2"/>
      <w:sz w:val="18"/>
      <w:szCs w:val="18"/>
    </w:rPr>
  </w:style>
  <w:style w:type="character" w:customStyle="1" w:styleId="8">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289</Words>
  <Characters>1648</Characters>
  <Lines>13</Lines>
  <Paragraphs>3</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温淑芳(发文拟稿)</cp:lastModifiedBy>
  <dcterms:modified xsi:type="dcterms:W3CDTF">2023-08-02T07:36:15Z</dcterms:modified>
  <dc:title>工伤保险供养亲属待遇申请表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