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eastAsiaTheme="majorEastAsia"/>
          <w:caps/>
          <w:kern w:val="2"/>
          <w:sz w:val="21"/>
        </w:rPr>
        <w:id w:val="536078793"/>
        <w:docPartObj>
          <w:docPartGallery w:val="AutoText"/>
        </w:docPartObj>
      </w:sdtPr>
      <w:sdtEndPr>
        <w:rPr>
          <w:rFonts w:ascii="Times New Roman" w:hAnsi="Times New Roman" w:cs="Times New Roman" w:eastAsiaTheme="minorEastAsia"/>
          <w:caps w:val="0"/>
          <w:kern w:val="2"/>
          <w:sz w:val="21"/>
        </w:rPr>
      </w:sdtEndPr>
      <w:sdtContent>
        <w:tbl>
          <w:tblPr>
            <w:tblStyle w:val="5"/>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5000" w:type="pct"/>
              </w:tcPr>
              <w:p>
                <w:pPr>
                  <w:pStyle w:val="8"/>
                  <w:jc w:val="center"/>
                  <w:rPr>
                    <w:rFonts w:ascii="Times New Roman" w:hAnsi="Times New Roman" w:cs="Times New Roman" w:eastAsiaTheme="majorEastAsia"/>
                    <w:caps/>
                  </w:rPr>
                </w:pPr>
              </w:p>
            </w:tc>
          </w:tr>
          <w:tr>
            <w:tblPrEx>
              <w:tblCellMar>
                <w:top w:w="0" w:type="dxa"/>
                <w:left w:w="108" w:type="dxa"/>
                <w:bottom w:w="0" w:type="dxa"/>
                <w:right w:w="108" w:type="dxa"/>
              </w:tblCellMar>
            </w:tblPrEx>
            <w:trPr>
              <w:trHeight w:val="1440" w:hRule="atLeast"/>
              <w:jc w:val="center"/>
            </w:trPr>
            <w:sdt>
              <w:sdtPr>
                <w:rPr>
                  <w:rFonts w:ascii="Times New Roman" w:hAnsi="Times New Roman" w:cs="Times New Roman" w:eastAsiaTheme="majorEastAsia"/>
                  <w:sz w:val="80"/>
                  <w:szCs w:val="8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sz w:val="80"/>
                  <w:szCs w:val="80"/>
                </w:rPr>
              </w:sdtEndPr>
              <w:sdtContent>
                <w:tc>
                  <w:tcPr>
                    <w:tcW w:w="5000" w:type="pct"/>
                    <w:tcBorders>
                      <w:bottom w:val="single" w:color="4F81BD" w:themeColor="accent1" w:sz="4" w:space="0"/>
                    </w:tcBorders>
                    <w:vAlign w:val="center"/>
                  </w:tcPr>
                  <w:p>
                    <w:pPr>
                      <w:pStyle w:val="8"/>
                      <w:jc w:val="center"/>
                      <w:rPr>
                        <w:rFonts w:ascii="Times New Roman" w:hAnsi="Times New Roman" w:cs="Times New Roman" w:eastAsiaTheme="majorEastAsia"/>
                        <w:sz w:val="80"/>
                        <w:szCs w:val="80"/>
                      </w:rPr>
                    </w:pPr>
                    <w:r>
                      <w:rPr>
                        <w:rFonts w:hint="eastAsia" w:ascii="Times New Roman" w:hAnsi="Times New Roman" w:cs="Times New Roman" w:eastAsiaTheme="majorEastAsia"/>
                        <w:sz w:val="80"/>
                        <w:szCs w:val="80"/>
                      </w:rPr>
                      <w:t xml:space="preserve">2016年东莞市职教城管理办公室部门决算   </w:t>
                    </w:r>
                  </w:p>
                </w:tc>
              </w:sdtContent>
            </w:sdt>
          </w:tr>
          <w:tr>
            <w:tblPrEx>
              <w:tblCellMar>
                <w:top w:w="0" w:type="dxa"/>
                <w:left w:w="108" w:type="dxa"/>
                <w:bottom w:w="0" w:type="dxa"/>
                <w:right w:w="108" w:type="dxa"/>
              </w:tblCellMar>
            </w:tblPrEx>
            <w:trPr>
              <w:trHeight w:val="720" w:hRule="atLeast"/>
              <w:jc w:val="center"/>
            </w:trPr>
            <w:tc>
              <w:tcPr>
                <w:tcW w:w="5000" w:type="pct"/>
                <w:tcBorders>
                  <w:top w:val="single" w:color="4F81BD" w:themeColor="accent1" w:sz="4" w:space="0"/>
                </w:tcBorders>
                <w:vAlign w:val="center"/>
              </w:tcPr>
              <w:p>
                <w:pPr>
                  <w:pStyle w:val="8"/>
                  <w:jc w:val="center"/>
                  <w:rPr>
                    <w:rFonts w:ascii="Times New Roman" w:hAnsi="Times New Roman" w:cs="Times New Roman" w:eastAsiaTheme="majorEastAs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8"/>
                  <w:jc w:val="center"/>
                  <w:rPr>
                    <w:rFonts w:ascii="Times New Roman" w:hAnsi="Times New Roman" w:cs="Times New Roman"/>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8"/>
                  <w:jc w:val="center"/>
                  <w:rPr>
                    <w:rFonts w:ascii="Times New Roman" w:hAnsi="Times New Roman" w:cs="Times New Roman"/>
                    <w:b/>
                    <w:bCs/>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sdtContent>
    </w:sdt>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目录</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部门概况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一、部门主要职责</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二、部门决算单位构成</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三、人员情况</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6</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第三部分名词解释</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第四部分 2016年部门决算表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一、收入支出决算总表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二、收入决算表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三、支出决算表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四、财政拨款收入支出决算总表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五、一般公共预算财政拨款支出决算表（功能分类）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六、一般公共预算财政拨款支出决算表（经济分类）</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七、一般公共预算财政拨款“三公”经费支出决算表</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八、政府性基金预算财政拨款收入支出决算表</w:t>
      </w: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ind w:firstLine="640" w:firstLineChars="200"/>
        <w:jc w:val="left"/>
        <w:rPr>
          <w:rFonts w:ascii="仿宋_GB2312"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第一部分部门概况</w:t>
      </w:r>
    </w:p>
    <w:p>
      <w:pPr>
        <w:pStyle w:val="13"/>
        <w:numPr>
          <w:ilvl w:val="0"/>
          <w:numId w:val="1"/>
        </w:numPr>
        <w:ind w:firstLineChars="0"/>
        <w:rPr>
          <w:rFonts w:ascii="Times New Roman" w:hAnsi="Times New Roman" w:eastAsia="黑体" w:cs="Times New Roman"/>
          <w:sz w:val="32"/>
          <w:szCs w:val="32"/>
        </w:rPr>
      </w:pPr>
      <w:r>
        <w:rPr>
          <w:rFonts w:ascii="Times New Roman" w:hAnsi="Times New Roman" w:eastAsia="黑体" w:cs="Times New Roman"/>
          <w:sz w:val="32"/>
          <w:szCs w:val="32"/>
        </w:rPr>
        <w:t>部门主要职责</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莞市职教城管理办公室为直属市人力资源局管理的公益一类事业单位。主要任务：负责统筹协调职教城日常管理工作以及二期工程建设；负责职教城公共区域范围内市政设施管理以及安全工作；协调各院校、单位之间关系、职教城与属地政府关系；承担职教城规划建设工作领导小组和职教城管理委员会日常工作。</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单位构成</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从决算单位构成看，纳入东莞市职教城管理办公室部门</w:t>
      </w:r>
      <w:r>
        <w:rPr>
          <w:rFonts w:hint="eastAsia" w:ascii="Times New Roman" w:hAnsi="Times New Roman" w:eastAsia="仿宋_GB2312" w:cs="Times New Roman"/>
          <w:sz w:val="32"/>
          <w:szCs w:val="32"/>
        </w:rPr>
        <w:t>决算编报范围的单位仅包括</w:t>
      </w:r>
      <w:r>
        <w:rPr>
          <w:rFonts w:hint="eastAsia" w:ascii="仿宋_GB2312" w:hAnsi="Times New Roman" w:eastAsia="仿宋_GB2312" w:cs="Times New Roman"/>
          <w:sz w:val="32"/>
          <w:szCs w:val="32"/>
        </w:rPr>
        <w:t>东莞市职教城管理办公室</w:t>
      </w:r>
      <w:r>
        <w:rPr>
          <w:rFonts w:hint="eastAsia" w:ascii="Times New Roman" w:hAnsi="Times New Roman" w:eastAsia="仿宋_GB2312" w:cs="Times New Roman"/>
          <w:sz w:val="32"/>
          <w:szCs w:val="32"/>
        </w:rPr>
        <w:t>部门本级决算，本部门没有下属单位。</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三、人员情况</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截至2016年底，</w:t>
      </w:r>
      <w:r>
        <w:rPr>
          <w:rFonts w:hint="eastAsia" w:ascii="仿宋_GB2312" w:hAnsi="Times New Roman" w:eastAsia="仿宋_GB2312" w:cs="Times New Roman"/>
          <w:kern w:val="0"/>
          <w:sz w:val="32"/>
          <w:szCs w:val="32"/>
        </w:rPr>
        <w:t>东莞市</w:t>
      </w:r>
      <w:r>
        <w:rPr>
          <w:rFonts w:hint="eastAsia" w:ascii="仿宋_GB2312" w:hAnsi="Times New Roman" w:eastAsia="仿宋_GB2312" w:cs="Times New Roman"/>
          <w:sz w:val="32"/>
          <w:szCs w:val="32"/>
        </w:rPr>
        <w:t>职教城管理办公室</w:t>
      </w:r>
      <w:r>
        <w:rPr>
          <w:rFonts w:hint="eastAsia" w:ascii="仿宋_GB2312" w:hAnsi="Times New Roman" w:eastAsia="仿宋_GB2312" w:cs="Times New Roman"/>
          <w:kern w:val="0"/>
          <w:sz w:val="32"/>
          <w:szCs w:val="32"/>
        </w:rPr>
        <w:t>共有事业编制数6名，财政供养的编内实有在职人员</w:t>
      </w:r>
      <w:r>
        <w:rPr>
          <w:rFonts w:hint="eastAsia" w:ascii="仿宋_GB2312" w:hAnsi="Times New Roman" w:eastAsia="仿宋_GB2312" w:cs="Times New Roman"/>
          <w:sz w:val="32"/>
          <w:szCs w:val="32"/>
        </w:rPr>
        <w:t>6</w:t>
      </w:r>
      <w:r>
        <w:rPr>
          <w:rFonts w:hint="eastAsia" w:ascii="仿宋_GB2312" w:hAnsi="Times New Roman" w:eastAsia="仿宋_GB2312" w:cs="Times New Roman"/>
          <w:kern w:val="0"/>
          <w:sz w:val="32"/>
          <w:szCs w:val="32"/>
        </w:rPr>
        <w:t>人，另外，有离退休</w:t>
      </w:r>
      <w:r>
        <w:rPr>
          <w:rFonts w:hint="eastAsia" w:ascii="仿宋_GB2312" w:hAnsi="Times New Roman" w:eastAsia="仿宋_GB2312" w:cs="Times New Roman"/>
          <w:sz w:val="32"/>
          <w:szCs w:val="32"/>
        </w:rPr>
        <w:t>0</w:t>
      </w:r>
      <w:r>
        <w:rPr>
          <w:rFonts w:hint="eastAsia" w:ascii="仿宋_GB2312" w:hAnsi="Times New Roman" w:eastAsia="仿宋_GB2312" w:cs="Times New Roman"/>
          <w:kern w:val="0"/>
          <w:sz w:val="32"/>
          <w:szCs w:val="32"/>
        </w:rPr>
        <w:t>人，聘用人员</w:t>
      </w:r>
      <w:r>
        <w:rPr>
          <w:rFonts w:hint="eastAsia" w:ascii="仿宋_GB2312" w:hAnsi="Times New Roman" w:eastAsia="仿宋_GB2312" w:cs="Times New Roman"/>
          <w:sz w:val="32"/>
          <w:szCs w:val="32"/>
        </w:rPr>
        <w:t>0</w:t>
      </w:r>
      <w:r>
        <w:rPr>
          <w:rFonts w:hint="eastAsia" w:ascii="仿宋_GB2312" w:hAnsi="Times New Roman" w:eastAsia="仿宋_GB2312" w:cs="Times New Roman"/>
          <w:kern w:val="0"/>
          <w:sz w:val="32"/>
          <w:szCs w:val="32"/>
        </w:rPr>
        <w:t>人，后勤服务人员</w:t>
      </w:r>
      <w:r>
        <w:rPr>
          <w:rFonts w:hint="eastAsia" w:ascii="仿宋_GB2312" w:hAnsi="Times New Roman" w:eastAsia="仿宋_GB2312" w:cs="Times New Roman"/>
          <w:sz w:val="32"/>
          <w:szCs w:val="32"/>
        </w:rPr>
        <w:t>0</w:t>
      </w:r>
      <w:r>
        <w:rPr>
          <w:rFonts w:hint="eastAsia" w:ascii="仿宋_GB2312" w:hAnsi="Times New Roman" w:eastAsia="仿宋_GB2312" w:cs="Times New Roman"/>
          <w:kern w:val="0"/>
          <w:sz w:val="32"/>
          <w:szCs w:val="32"/>
        </w:rPr>
        <w:t>人。</w:t>
      </w:r>
    </w:p>
    <w:p>
      <w:pPr>
        <w:ind w:firstLine="640" w:firstLineChars="200"/>
        <w:rPr>
          <w:rFonts w:ascii="仿宋_GB2312" w:hAnsi="Times New Roman" w:eastAsia="仿宋_GB2312"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6</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一、收入支出决算总体情况说明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本部门2016年度收入总计476.63万元，支出总计472.47万元。与2015年相比，收入总计增加204.24万元，增长42.85%；支出总计增加203.23万元，增长43.01%。</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二、收入决算情况说明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本部门2016年度收入合计476.63万元，其中：财政拨款收入476.63万元，占100%；上级补助收入0万元，占0%；事业收入476.63万元，占100%；经营收入0万元，占0%；附属单位上缴收入0万元，占0%；其他收入0万元，占0%。</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本部门2016年度支出合计472.47万元，其中：基本支出160.80万元，占34.03%；项目支出311.67万元，占65.97%；上缴上级支出0万元，占0%；经营支出0万元，占0%；对附属单位补助支出0万元，占0%。</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四、财政拨款收入支出决算总体情况说明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本部门2016年度财政拨款收入总计476.63万元，支出总计472.47万元。与2015年相比，财政拨款收入总计增加204.24万元，增长42.85%；支出总计增加203.23万元，增长43.01%。</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五、一般公共预算财政拨款支出决算情况说明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（一）一般公共预算财政拨款支出决算总体情况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本部门2016年度一般公共预算财政拨款支出472.47万元，占本年支出合计100%。与2015年相比，一般公共预算财政拨款支出增加203.23万元，增长43.01%。</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（二）一般公共预算财政拨款支出决算结构情况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本部门2016年度一般公共预算财政拨款支出472.47万元，主要用于以下方面:教育支出463.97万元，占98.20%；住房保障支出8.5万元，占1.80%。</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（三）一般公共预算财政拨款支出决算具体情况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w:t>
      </w:r>
      <w:r>
        <w:rPr>
          <w:rFonts w:hint="eastAsia" w:ascii="Times New Roman" w:hAnsi="Times New Roman" w:eastAsia="仿宋_GB2312" w:cs="Times New Roman"/>
          <w:sz w:val="32"/>
          <w:szCs w:val="32"/>
        </w:rPr>
        <w:t>一般公共预算</w:t>
      </w:r>
      <w:r>
        <w:rPr>
          <w:rFonts w:hint="eastAsia" w:ascii="仿宋_GB2312" w:hAnsi="Times New Roman" w:eastAsia="仿宋_GB2312" w:cs="Times New Roman"/>
          <w:sz w:val="32"/>
          <w:szCs w:val="32"/>
        </w:rPr>
        <w:t>财政拨款支出年初预算439.62万元，支出决算472.47万元，完成年初预算的107.47%。其中：</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1.教育支出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（1）职业教育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①其他职业教育支出（科目编码：2050399）年初预算数为433.26万元，支出决算数为463.97万元，完成年初预算的107.09%。</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2.住房保障支出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（1）住房改革支出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①住房公积金（科目编码：2210201）年初预算数为6.36万元，支出决算数为8.50万元，完成年初预算的133.65%。</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六、一般公共预算财政拨款基本支出决算情况说明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本部门2016年度一般公共预算</w:t>
      </w:r>
      <w:r>
        <w:rPr>
          <w:rFonts w:hint="eastAsia" w:ascii="Times New Roman" w:hAnsi="Times New Roman" w:eastAsia="仿宋_GB2312" w:cs="Times New Roman"/>
          <w:sz w:val="32"/>
          <w:szCs w:val="32"/>
        </w:rPr>
        <w:t>财政拨款基本支出160.80万元，其中人员经费123.09万元，包括：工资福利支出123.09万元；对个人和家庭的补助24.02万元；公用经费13.69万元，包括：商品和服务支出13.69万元，其他资本性支出0万元，其他支出0万元。</w:t>
      </w:r>
    </w:p>
    <w:p>
      <w:pPr>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一般公共预算</w:t>
      </w:r>
      <w:r>
        <w:rPr>
          <w:rFonts w:hint="eastAsia" w:ascii="Times New Roman" w:hAnsi="Times New Roman" w:eastAsia="黑体" w:cs="Times New Roman"/>
          <w:sz w:val="32"/>
          <w:szCs w:val="32"/>
        </w:rPr>
        <w:t>财政拨款</w:t>
      </w:r>
      <w:r>
        <w:rPr>
          <w:rFonts w:ascii="Times New Roman" w:hAnsi="Times New Roman" w:eastAsia="黑体" w:cs="Times New Roman"/>
          <w:sz w:val="32"/>
          <w:szCs w:val="32"/>
        </w:rPr>
        <w:t>“三公”经费</w:t>
      </w:r>
      <w:r>
        <w:rPr>
          <w:rFonts w:hint="eastAsia" w:ascii="Times New Roman" w:hAnsi="Times New Roman" w:eastAsia="黑体" w:cs="Times New Roman"/>
          <w:sz w:val="32"/>
          <w:szCs w:val="32"/>
        </w:rPr>
        <w:t>支出决算</w:t>
      </w:r>
      <w:r>
        <w:rPr>
          <w:rFonts w:ascii="Times New Roman" w:hAnsi="Times New Roman" w:eastAsia="黑体" w:cs="Times New Roman"/>
          <w:sz w:val="32"/>
          <w:szCs w:val="32"/>
        </w:rPr>
        <w:t>情况说明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（一）“三公”经费一般公共预算财政拨款支出决算总体情况</w:t>
      </w:r>
    </w:p>
    <w:p>
      <w:p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2016年度“三公”经费一般公共预算财政拨款支出预算为2万元，支出决算为0.73万元，完成预算的36.50%，其中：因公出国（境）费支出决算为0万元，完成预算的100%；公务用车购置费支出决算为0万元，完成预算的100%；公务用车运行维护费支出决算为0万元，完成预算的100%；公务接待费支出决算为0.73万元，完成预算的36.50%。2016年度“三公”经费一般公共预算财政拨款支出决算数少于预算数的主要原因是：严格遵守</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八项规定</w:t>
      </w:r>
      <w:bookmarkStart w:id="1" w:name="_GoBack"/>
      <w:bookmarkEnd w:id="1"/>
      <w:r>
        <w:rPr>
          <w:rFonts w:hint="eastAsia" w:ascii="Times New Roman" w:hAnsi="Times New Roman" w:eastAsia="仿宋_GB2312" w:cs="Times New Roman"/>
          <w:sz w:val="32"/>
          <w:szCs w:val="32"/>
        </w:rPr>
        <w:t>，厉行节约。</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度“三公”经费一般公共预算财政拨款支出决算数比2015年减少0.34万元，下降31.78%，其中：因公出国（境）费支出决算减少0万元，下降0%；公务用车购置费支出决算减少0万元，下降0%；公务用车运行维护费支出决算减少0万元，下降0%；公务接待费支出决算减少0.34万元，下降31.78%。2016年度“三公”经费一般公共预算财政拨款支出决算数较2015年减少的主要原因是：严格遵守</w:t>
      </w:r>
      <w:r>
        <w:rPr>
          <w:rFonts w:hint="eastAsia" w:ascii="仿宋_GB2312" w:hAnsi="Times New Roman" w:eastAsia="仿宋_GB2312" w:cs="Times New Roman"/>
          <w:sz w:val="32"/>
          <w:szCs w:val="32"/>
          <w:lang w:eastAsia="zh-CN"/>
        </w:rPr>
        <w:t>中央</w:t>
      </w:r>
      <w:r>
        <w:rPr>
          <w:rFonts w:hint="eastAsia" w:ascii="仿宋_GB2312" w:hAnsi="Times New Roman" w:eastAsia="仿宋_GB2312" w:cs="Times New Roman"/>
          <w:sz w:val="32"/>
          <w:szCs w:val="32"/>
        </w:rPr>
        <w:t>八项规定，厉行节约。</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（二）“三公”经费一般公共预算财政拨款支出决算具体情况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2016年，本部门“三公”经费一般公共预算财政拨款支出合计0.73万元，其中：</w:t>
      </w:r>
    </w:p>
    <w:p>
      <w:pPr>
        <w:spacing w:line="6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1.因公出国（境）费支出0万元，比2016年预算增加0万元，增长0%。全年出国（境）团组0个、0人次。</w:t>
      </w:r>
    </w:p>
    <w:p>
      <w:pPr>
        <w:spacing w:line="60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2.公务用车购置费支出0万元，比2016年预算增加0万元，增长0%。公务用车购置数0辆。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3.公务用车运行维护费支出0万元，比2016年预算增加0万元，增长0%。截至2016年底，本单位公务用车保有量0辆。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4.公务接待费支出0.73万元，比2016年预算0减少1.27万元，下降63.50%。全年共接待8批次、60人次。</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八、政府性基金预算财政拨款收支决算情况说明</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本部门没有政府性基金预算。</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九、其他重要事项的情况说明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（一）事业运行经费支出情况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部门本级的事业运行经费财政拨款支出13.69万元，主要是为保障单位运行用于购买货物和服务的各项资金，包括办公费1.34万元、手续费0.015万元、邮电费0.20万元、物业管理费3.89万元、差旅费0.92万元、日常维修费0.42万元、公务接待费0.73万元、劳务费0.24万元、工会经费1.18万元、福利费0.049万元、其他商品服务和支出4.71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（二）国有资产占用情况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止2016年底，本部门所属各预算单位共有车辆0辆，其中：一般公务用车0辆、一般执法执勤用车0辆、特种专业技术用车0辆、其他用车0辆。单位价值50万元以上通用设备0台（套），单位价值100万元以上专用设备0台（套）。</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（三）政府采购支出情</w:t>
      </w:r>
      <w:r>
        <w:rPr>
          <w:rFonts w:hint="eastAsia" w:ascii="Times New Roman" w:hAnsi="Times New Roman" w:eastAsia="仿宋_GB2312" w:cs="Times New Roman"/>
          <w:sz w:val="32"/>
          <w:szCs w:val="32"/>
        </w:rPr>
        <w:t>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部门本级的政府采购支出总额287.02万元，其中：政府采购货物支出0万元，占0%；政府采购工程支出0万元，占0%；政府采购服务支出287.02万元，占100%。授予中小企业合同金额287.02万元，占政府采购支出总额的100%，其中：授予小微企业合同金额0万元，占政府采购支出总额的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（四）预算绩效管理工作开展情况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本部门2016年部门决算进行预算绩效评价的民生项目和重点支出项目0个，涉及当年财政拨款资金0万元。</w:t>
      </w: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第三部分专业名词解释</w:t>
      </w:r>
    </w:p>
    <w:p>
      <w:pPr>
        <w:ind w:firstLine="640" w:firstLineChars="200"/>
        <w:rPr>
          <w:rFonts w:ascii="仿宋_GB2312" w:hAnsi="Times New Roman" w:eastAsia="仿宋_GB2312" w:cs="Times New Roman"/>
          <w:sz w:val="32"/>
          <w:szCs w:val="32"/>
        </w:rPr>
      </w:pPr>
      <w:bookmarkStart w:id="0" w:name="4"/>
      <w:r>
        <w:rPr>
          <w:rFonts w:ascii="仿宋_GB2312" w:hAnsi="Times New Roman" w:eastAsia="仿宋_GB2312" w:cs="Times New Roman"/>
          <w:sz w:val="32"/>
          <w:szCs w:val="32"/>
        </w:rPr>
        <w:t>财政拨款收入：指</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财政当年拨付的资金。</w:t>
      </w:r>
      <w:bookmarkEnd w:id="0"/>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事业收入：指事业单位开展专业业务活动及辅助活动所取得的收入。</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其他收入：指除上述</w:t>
      </w:r>
      <w:r>
        <w:rPr>
          <w:rFonts w:hint="eastAsia" w:ascii="仿宋_GB2312" w:hAnsi="Times New Roman" w:eastAsia="仿宋_GB2312" w:cs="Times New Roman"/>
          <w:sz w:val="32"/>
          <w:szCs w:val="32"/>
        </w:rPr>
        <w:t>“财政拨款收入”、“事业收入”等</w:t>
      </w:r>
      <w:r>
        <w:rPr>
          <w:rFonts w:ascii="仿宋_GB2312" w:hAnsi="Times New Roman" w:eastAsia="仿宋_GB2312" w:cs="Times New Roman"/>
          <w:sz w:val="32"/>
          <w:szCs w:val="32"/>
        </w:rPr>
        <w:t>以外的收入。</w:t>
      </w:r>
      <w:r>
        <w:rPr>
          <w:rFonts w:hint="eastAsia" w:ascii="仿宋_GB2312" w:hAnsi="Times New Roman" w:eastAsia="仿宋_GB2312" w:cs="Times New Roman"/>
          <w:sz w:val="32"/>
          <w:szCs w:val="32"/>
        </w:rPr>
        <w:t>主要是银行</w:t>
      </w:r>
      <w:r>
        <w:rPr>
          <w:rFonts w:ascii="仿宋_GB2312" w:hAnsi="Times New Roman" w:eastAsia="仿宋_GB2312" w:cs="Times New Roman"/>
          <w:sz w:val="32"/>
          <w:szCs w:val="32"/>
        </w:rPr>
        <w:t>存款利息收入等。</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用事业基金弥补收支差额：指事业单位在当年的</w:t>
      </w:r>
      <w:r>
        <w:rPr>
          <w:rFonts w:hint="eastAsia" w:ascii="仿宋_GB2312" w:hAnsi="Times New Roman" w:eastAsia="仿宋_GB2312" w:cs="Times New Roman"/>
          <w:sz w:val="32"/>
          <w:szCs w:val="32"/>
        </w:rPr>
        <w:t>“财政拨款收入”、“事业收入”、“经营收入”、“其他收入”</w:t>
      </w:r>
      <w:r>
        <w:rPr>
          <w:rFonts w:ascii="仿宋_GB2312" w:hAnsi="Times New Roman" w:eastAsia="仿宋_GB2312" w:cs="Times New Roman"/>
          <w:sz w:val="32"/>
          <w:szCs w:val="32"/>
        </w:rPr>
        <w:t>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w:t>
      </w:r>
      <w:r>
        <w:rPr>
          <w:rFonts w:ascii="仿宋_GB2312" w:hAnsi="Times New Roman" w:eastAsia="仿宋_GB2312" w:cs="Times New Roman"/>
          <w:sz w:val="32"/>
          <w:szCs w:val="32"/>
        </w:rPr>
        <w:t>结转和结余：指以前年度尚未完成、结转到本年按有关规定继续使用的资金。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年末结转和结余：指本年度或以前年度预算安排、因客观条件发生变化无法按原计划实施，需要延迟到以后年度按有关规定继续使用的资金。</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基本支出：指为保障机构正常运转、完成日常工作任务而发生的人员支出和公用支出。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项目支出：指在基本支出之外为完成特定行政任务和事业发展目标所发生的支出</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三公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经费：</w:t>
      </w:r>
      <w:r>
        <w:rPr>
          <w:rFonts w:hint="eastAsia" w:ascii="仿宋_GB2312" w:hAnsi="Times New Roman" w:eastAsia="仿宋_GB2312" w:cs="Times New Roman"/>
          <w:sz w:val="32"/>
          <w:szCs w:val="32"/>
        </w:rPr>
        <w:t>纳入市财政预决算管理的“三公”经费，</w:t>
      </w:r>
      <w:r>
        <w:rPr>
          <w:rFonts w:ascii="仿宋_GB2312" w:hAnsi="Times New Roman" w:eastAsia="仿宋_GB2312" w:cs="Times New Roman"/>
          <w:sz w:val="32"/>
          <w:szCs w:val="32"/>
        </w:rPr>
        <w:t>是指本部门</w:t>
      </w:r>
      <w:r>
        <w:rPr>
          <w:rFonts w:hint="eastAsia" w:ascii="仿宋_GB2312" w:hAnsi="Times New Roman" w:eastAsia="仿宋_GB2312" w:cs="Times New Roman"/>
          <w:sz w:val="32"/>
          <w:szCs w:val="32"/>
        </w:rPr>
        <w:t>用</w:t>
      </w:r>
      <w:r>
        <w:rPr>
          <w:rFonts w:ascii="仿宋_GB2312" w:hAnsi="Times New Roman" w:eastAsia="仿宋_GB2312" w:cs="Times New Roman"/>
          <w:sz w:val="32"/>
          <w:szCs w:val="32"/>
        </w:rPr>
        <w:t>财政拨款安排的因公出国（境）费、公务用车购置及运行费和公务接待费。其中，因公出国（境）费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单位公务出国（境）的</w:t>
      </w:r>
      <w:r>
        <w:rPr>
          <w:rFonts w:hint="eastAsia" w:ascii="仿宋_GB2312" w:hAnsi="Times New Roman" w:eastAsia="仿宋_GB2312" w:cs="Times New Roman"/>
          <w:sz w:val="32"/>
          <w:szCs w:val="32"/>
        </w:rPr>
        <w:t>国际</w:t>
      </w:r>
      <w:r>
        <w:rPr>
          <w:rFonts w:ascii="仿宋_GB2312" w:hAnsi="Times New Roman" w:eastAsia="仿宋_GB2312" w:cs="Times New Roman"/>
          <w:sz w:val="32"/>
          <w:szCs w:val="32"/>
        </w:rPr>
        <w:t>旅费、</w:t>
      </w:r>
      <w:r>
        <w:rPr>
          <w:rFonts w:hint="eastAsia" w:ascii="仿宋_GB2312" w:hAnsi="Times New Roman" w:eastAsia="仿宋_GB2312" w:cs="Times New Roman"/>
          <w:sz w:val="32"/>
          <w:szCs w:val="32"/>
        </w:rPr>
        <w:t>国外城市间交通费、住宿费、伙食费、培训费、公杂费</w:t>
      </w:r>
      <w:r>
        <w:rPr>
          <w:rFonts w:ascii="仿宋_GB2312" w:hAnsi="Times New Roman" w:eastAsia="仿宋_GB2312" w:cs="Times New Roman"/>
          <w:sz w:val="32"/>
          <w:szCs w:val="32"/>
        </w:rPr>
        <w:t>等支出；公务用车购置及运行费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单位公务用车</w:t>
      </w:r>
      <w:r>
        <w:rPr>
          <w:rFonts w:hint="eastAsia" w:ascii="仿宋_GB2312" w:hAnsi="Times New Roman" w:eastAsia="仿宋_GB2312" w:cs="Times New Roman"/>
          <w:sz w:val="32"/>
          <w:szCs w:val="32"/>
        </w:rPr>
        <w:t>车辆</w:t>
      </w:r>
      <w:r>
        <w:rPr>
          <w:rFonts w:ascii="仿宋_GB2312" w:hAnsi="Times New Roman" w:eastAsia="仿宋_GB2312" w:cs="Times New Roman"/>
          <w:sz w:val="32"/>
          <w:szCs w:val="32"/>
        </w:rPr>
        <w:t>购置</w:t>
      </w:r>
      <w:r>
        <w:rPr>
          <w:rFonts w:hint="eastAsia" w:ascii="仿宋_GB2312" w:hAnsi="Times New Roman" w:eastAsia="仿宋_GB2312" w:cs="Times New Roman"/>
          <w:sz w:val="32"/>
          <w:szCs w:val="32"/>
        </w:rPr>
        <w:t>支出（含车辆购置税）</w:t>
      </w:r>
      <w:r>
        <w:rPr>
          <w:rFonts w:ascii="仿宋_GB2312" w:hAnsi="Times New Roman" w:eastAsia="仿宋_GB2312" w:cs="Times New Roman"/>
          <w:sz w:val="32"/>
          <w:szCs w:val="32"/>
        </w:rPr>
        <w:t>及租用费、燃料费、维修费、过路过桥费、保险费等支出；公务接待费指单位按规定开支的各类公务接待（含外宾接待）支出。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rPr>
          <w:rFonts w:ascii="Times New Roman" w:hAnsi="Times New Roman" w:eastAsia="仿宋_GB2312" w:cs="Times New Roman"/>
          <w:sz w:val="32"/>
          <w:szCs w:val="32"/>
        </w:rPr>
      </w:pP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第四部分 2016年部门决算表</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详见</w:t>
      </w: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表1-8，请参见附件。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表号</w:t>
            </w:r>
          </w:p>
        </w:tc>
        <w:tc>
          <w:tcPr>
            <w:tcW w:w="6854"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决算表</w:t>
            </w:r>
            <w:r>
              <w:rPr>
                <w:rFonts w:ascii="Times New Roman" w:hAnsi="Times New Roman" w:eastAsia="仿宋_GB2312" w:cs="Times New Roman"/>
                <w:sz w:val="32"/>
                <w:szCs w:val="32"/>
              </w:rPr>
              <w:t>1</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表2</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表3</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表4</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表5</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一般公共预算财政拨款支出决算表（功能分类）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表6</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一般公共预算财政拨款支出决算表（经济分类）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表7</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决算</w:t>
            </w:r>
            <w:r>
              <w:rPr>
                <w:rFonts w:hint="eastAsia" w:ascii="Times New Roman" w:hAnsi="Times New Roman" w:eastAsia="仿宋_GB2312" w:cs="Times New Roman"/>
                <w:sz w:val="32"/>
                <w:szCs w:val="32"/>
              </w:rPr>
              <w:t>表8</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政府性基金预算财政拨款收入支出决算表</w:t>
            </w:r>
          </w:p>
        </w:tc>
      </w:tr>
    </w:tbl>
    <w:p>
      <w:pPr>
        <w:ind w:firstLine="640" w:firstLineChars="200"/>
        <w:jc w:val="lef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A15FC"/>
    <w:multiLevelType w:val="multilevel"/>
    <w:tmpl w:val="75CA15F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2412"/>
    <w:rsid w:val="00091651"/>
    <w:rsid w:val="00092BBF"/>
    <w:rsid w:val="000D2D58"/>
    <w:rsid w:val="000D6C81"/>
    <w:rsid w:val="0010072A"/>
    <w:rsid w:val="00126B41"/>
    <w:rsid w:val="00147F6C"/>
    <w:rsid w:val="001519AD"/>
    <w:rsid w:val="00156ACC"/>
    <w:rsid w:val="0016144D"/>
    <w:rsid w:val="00167A62"/>
    <w:rsid w:val="00175175"/>
    <w:rsid w:val="00180F1F"/>
    <w:rsid w:val="0019189A"/>
    <w:rsid w:val="001B3AE2"/>
    <w:rsid w:val="001E60E3"/>
    <w:rsid w:val="001E6E75"/>
    <w:rsid w:val="001F26CC"/>
    <w:rsid w:val="00203959"/>
    <w:rsid w:val="00203E5A"/>
    <w:rsid w:val="00203FBC"/>
    <w:rsid w:val="00206079"/>
    <w:rsid w:val="00216625"/>
    <w:rsid w:val="00223738"/>
    <w:rsid w:val="002300D7"/>
    <w:rsid w:val="00234329"/>
    <w:rsid w:val="002538EB"/>
    <w:rsid w:val="00256189"/>
    <w:rsid w:val="00267C10"/>
    <w:rsid w:val="002800B8"/>
    <w:rsid w:val="0028792A"/>
    <w:rsid w:val="002B5225"/>
    <w:rsid w:val="002B53BC"/>
    <w:rsid w:val="002B5CF3"/>
    <w:rsid w:val="002C5D86"/>
    <w:rsid w:val="002E7906"/>
    <w:rsid w:val="002F04EF"/>
    <w:rsid w:val="002F40BE"/>
    <w:rsid w:val="00306E6D"/>
    <w:rsid w:val="00326CB1"/>
    <w:rsid w:val="003368F4"/>
    <w:rsid w:val="003402E4"/>
    <w:rsid w:val="00347B34"/>
    <w:rsid w:val="003809AC"/>
    <w:rsid w:val="00381456"/>
    <w:rsid w:val="00382412"/>
    <w:rsid w:val="00396871"/>
    <w:rsid w:val="003E2FD3"/>
    <w:rsid w:val="003F0DD2"/>
    <w:rsid w:val="003F7791"/>
    <w:rsid w:val="0041378F"/>
    <w:rsid w:val="00451C48"/>
    <w:rsid w:val="00460DDF"/>
    <w:rsid w:val="00461B56"/>
    <w:rsid w:val="00470393"/>
    <w:rsid w:val="004A1C5C"/>
    <w:rsid w:val="004A2B86"/>
    <w:rsid w:val="004C3683"/>
    <w:rsid w:val="004E37FD"/>
    <w:rsid w:val="00507624"/>
    <w:rsid w:val="005122A7"/>
    <w:rsid w:val="005156A2"/>
    <w:rsid w:val="0052153A"/>
    <w:rsid w:val="00521DC7"/>
    <w:rsid w:val="00533352"/>
    <w:rsid w:val="00534E44"/>
    <w:rsid w:val="00547FD3"/>
    <w:rsid w:val="00550794"/>
    <w:rsid w:val="00555053"/>
    <w:rsid w:val="00556042"/>
    <w:rsid w:val="00592CE7"/>
    <w:rsid w:val="005A1783"/>
    <w:rsid w:val="005A2C66"/>
    <w:rsid w:val="005B0BEE"/>
    <w:rsid w:val="005C77BD"/>
    <w:rsid w:val="005D20FD"/>
    <w:rsid w:val="005E22B8"/>
    <w:rsid w:val="005F1CEA"/>
    <w:rsid w:val="006000E0"/>
    <w:rsid w:val="006321E9"/>
    <w:rsid w:val="00645FE2"/>
    <w:rsid w:val="00647005"/>
    <w:rsid w:val="006641FD"/>
    <w:rsid w:val="00671B7E"/>
    <w:rsid w:val="00681FB1"/>
    <w:rsid w:val="006A6DB8"/>
    <w:rsid w:val="006B03BF"/>
    <w:rsid w:val="006B541A"/>
    <w:rsid w:val="006E1431"/>
    <w:rsid w:val="00702D73"/>
    <w:rsid w:val="00712D1F"/>
    <w:rsid w:val="007171AD"/>
    <w:rsid w:val="00717BC4"/>
    <w:rsid w:val="00744C8D"/>
    <w:rsid w:val="007453FB"/>
    <w:rsid w:val="00751254"/>
    <w:rsid w:val="00753902"/>
    <w:rsid w:val="00762DE6"/>
    <w:rsid w:val="007822D5"/>
    <w:rsid w:val="007937E4"/>
    <w:rsid w:val="00794916"/>
    <w:rsid w:val="007A11B7"/>
    <w:rsid w:val="007D6330"/>
    <w:rsid w:val="007E292D"/>
    <w:rsid w:val="008206E1"/>
    <w:rsid w:val="008408EC"/>
    <w:rsid w:val="00883E5C"/>
    <w:rsid w:val="008903A2"/>
    <w:rsid w:val="008B4575"/>
    <w:rsid w:val="008B5636"/>
    <w:rsid w:val="008C4760"/>
    <w:rsid w:val="008C6D7B"/>
    <w:rsid w:val="008D1C3E"/>
    <w:rsid w:val="008D6AFE"/>
    <w:rsid w:val="008F10DB"/>
    <w:rsid w:val="008F6AEE"/>
    <w:rsid w:val="00900A36"/>
    <w:rsid w:val="00902728"/>
    <w:rsid w:val="00905EB5"/>
    <w:rsid w:val="00915EA7"/>
    <w:rsid w:val="00924C73"/>
    <w:rsid w:val="00924D44"/>
    <w:rsid w:val="00931EF3"/>
    <w:rsid w:val="00933F08"/>
    <w:rsid w:val="00937F58"/>
    <w:rsid w:val="00960EE2"/>
    <w:rsid w:val="0096113E"/>
    <w:rsid w:val="00966450"/>
    <w:rsid w:val="00970E9D"/>
    <w:rsid w:val="009804CA"/>
    <w:rsid w:val="0098143A"/>
    <w:rsid w:val="009917A3"/>
    <w:rsid w:val="009A1C21"/>
    <w:rsid w:val="009A3482"/>
    <w:rsid w:val="009B5280"/>
    <w:rsid w:val="009C339A"/>
    <w:rsid w:val="009D3A9E"/>
    <w:rsid w:val="009D40FC"/>
    <w:rsid w:val="009F0FA6"/>
    <w:rsid w:val="00A03DEE"/>
    <w:rsid w:val="00A111B0"/>
    <w:rsid w:val="00A11A42"/>
    <w:rsid w:val="00A344E0"/>
    <w:rsid w:val="00A43237"/>
    <w:rsid w:val="00A7207A"/>
    <w:rsid w:val="00AA727A"/>
    <w:rsid w:val="00AB2D9F"/>
    <w:rsid w:val="00AB4A48"/>
    <w:rsid w:val="00AC6767"/>
    <w:rsid w:val="00AE21A3"/>
    <w:rsid w:val="00B071F5"/>
    <w:rsid w:val="00B112D6"/>
    <w:rsid w:val="00B113F5"/>
    <w:rsid w:val="00B15430"/>
    <w:rsid w:val="00B21955"/>
    <w:rsid w:val="00B25565"/>
    <w:rsid w:val="00B329A5"/>
    <w:rsid w:val="00B70BA1"/>
    <w:rsid w:val="00B72C51"/>
    <w:rsid w:val="00B73A19"/>
    <w:rsid w:val="00B7737B"/>
    <w:rsid w:val="00B81F23"/>
    <w:rsid w:val="00B87834"/>
    <w:rsid w:val="00B948CC"/>
    <w:rsid w:val="00B9540A"/>
    <w:rsid w:val="00B9715D"/>
    <w:rsid w:val="00BB4F05"/>
    <w:rsid w:val="00BD221B"/>
    <w:rsid w:val="00BD6A8F"/>
    <w:rsid w:val="00C2335E"/>
    <w:rsid w:val="00C57F59"/>
    <w:rsid w:val="00C62410"/>
    <w:rsid w:val="00C7035F"/>
    <w:rsid w:val="00C76610"/>
    <w:rsid w:val="00C86337"/>
    <w:rsid w:val="00CD2FD3"/>
    <w:rsid w:val="00D25B82"/>
    <w:rsid w:val="00D37959"/>
    <w:rsid w:val="00D53265"/>
    <w:rsid w:val="00D7732E"/>
    <w:rsid w:val="00D81AB3"/>
    <w:rsid w:val="00DA1CF2"/>
    <w:rsid w:val="00DA7C17"/>
    <w:rsid w:val="00DA7E3D"/>
    <w:rsid w:val="00DB55CE"/>
    <w:rsid w:val="00DD7EFD"/>
    <w:rsid w:val="00DE52A2"/>
    <w:rsid w:val="00DF26D6"/>
    <w:rsid w:val="00DF479C"/>
    <w:rsid w:val="00DF52EA"/>
    <w:rsid w:val="00E13867"/>
    <w:rsid w:val="00E13F0C"/>
    <w:rsid w:val="00E22E67"/>
    <w:rsid w:val="00E36EDD"/>
    <w:rsid w:val="00E46DCE"/>
    <w:rsid w:val="00E5407F"/>
    <w:rsid w:val="00E60A59"/>
    <w:rsid w:val="00E66D5E"/>
    <w:rsid w:val="00E70C80"/>
    <w:rsid w:val="00E77156"/>
    <w:rsid w:val="00E773AF"/>
    <w:rsid w:val="00E81E1F"/>
    <w:rsid w:val="00E83E39"/>
    <w:rsid w:val="00EA131A"/>
    <w:rsid w:val="00EB2B04"/>
    <w:rsid w:val="00EB2D63"/>
    <w:rsid w:val="00EC14A2"/>
    <w:rsid w:val="00ED53CF"/>
    <w:rsid w:val="00EE32F7"/>
    <w:rsid w:val="00F22D1F"/>
    <w:rsid w:val="00F249C1"/>
    <w:rsid w:val="00F3563E"/>
    <w:rsid w:val="00F44F0E"/>
    <w:rsid w:val="00F46C79"/>
    <w:rsid w:val="00F56A70"/>
    <w:rsid w:val="00F628AB"/>
    <w:rsid w:val="00F73F3A"/>
    <w:rsid w:val="00F83552"/>
    <w:rsid w:val="00FA06F8"/>
    <w:rsid w:val="00FA74EE"/>
    <w:rsid w:val="00FB7258"/>
    <w:rsid w:val="00FF436C"/>
    <w:rsid w:val="25FC1E61"/>
    <w:rsid w:val="428D23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link w:val="9"/>
    <w:qFormat/>
    <w:uiPriority w:val="1"/>
    <w:rPr>
      <w:rFonts w:asciiTheme="minorHAnsi" w:hAnsiTheme="minorHAnsi" w:eastAsiaTheme="minorEastAsia" w:cstheme="minorBidi"/>
      <w:kern w:val="0"/>
      <w:sz w:val="22"/>
      <w:szCs w:val="22"/>
      <w:lang w:val="en-US" w:eastAsia="zh-CN" w:bidi="ar-SA"/>
    </w:rPr>
  </w:style>
  <w:style w:type="character" w:customStyle="1" w:styleId="9">
    <w:name w:val="无间隔 Char"/>
    <w:basedOn w:val="7"/>
    <w:link w:val="8"/>
    <w:uiPriority w:val="1"/>
    <w:rPr>
      <w:kern w:val="0"/>
      <w:sz w:val="22"/>
    </w:rPr>
  </w:style>
  <w:style w:type="character" w:customStyle="1" w:styleId="10">
    <w:name w:val="批注框文本 Char"/>
    <w:basedOn w:val="7"/>
    <w:link w:val="2"/>
    <w:semiHidden/>
    <w:uiPriority w:val="99"/>
    <w:rPr>
      <w:sz w:val="18"/>
      <w:szCs w:val="18"/>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517BA-E098-4284-9D68-F65A2827A5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613</Words>
  <Characters>3498</Characters>
  <Lines>29</Lines>
  <Paragraphs>8</Paragraphs>
  <TotalTime>2982</TotalTime>
  <ScaleCrop>false</ScaleCrop>
  <LinksUpToDate>false</LinksUpToDate>
  <CharactersWithSpaces>4103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2015-10-30T07:05:00Z</dcterms:created>
  <dc:creator>李峰</dc:creator>
  <cp:lastModifiedBy>YYQ</cp:lastModifiedBy>
  <cp:lastPrinted>2017-09-07T08:46:00Z</cp:lastPrinted>
  <dcterms:modified xsi:type="dcterms:W3CDTF">2024-06-25T03:12:21Z</dcterms:modified>
  <dc:title>2016年东莞市职教城管理办公室部门决算   </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