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iCs w:val="0"/>
          <w:caps w:val="0"/>
          <w:color w:val="DF3A39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DF3A39"/>
          <w:spacing w:val="0"/>
          <w:sz w:val="44"/>
          <w:szCs w:val="44"/>
          <w:shd w:val="clear" w:fill="FFFFFF"/>
        </w:rPr>
        <w:t>转发广东省医疗保障局 广东省人力资源和社会保障厅关于印发广东省基本医疗保险、工伤保险和生育保险药品目录（2024年版）的通知</w:t>
      </w:r>
    </w:p>
    <w:p>
      <w:pPr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45"/>
          <w:szCs w:val="45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各镇街（园区）医疗保障分局、人力资源和社会保障分局，松山湖社会事务局，市医疗保障事业管理中心、市社会保险基金管理中心，各医疗保障定点医药机构，各工伤保险医疗、康复服务协议机</w:t>
      </w:r>
      <w:bookmarkStart w:id="0" w:name="_GoBack"/>
      <w:bookmarkEnd w:id="0"/>
      <w:r>
        <w:rPr>
          <w:rFonts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构：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现将《广东省医疗保障局 广东省人力资源和社会保障厅关于印发&lt;广东省基本医疗保险、工伤保险和生育保险药品目录（2024年版）&gt;的通知》（粤医保发〔2023〕34号，见附件1）转发给你们，基本医疗保险支付时，部分乙类药品个人先自付比例为20%（见附件2），其余乙类药品个人先自付比例为0。工伤保险支付时不分甲、乙类，支付标准按省有关规定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本《通知》自2024年1月1日起正式执行。《转发广东省医疗保障局 广东省人力资源和社会保障厅关于印发〈广东省基本医疗保险、工伤保险和生育保险药品目录（2023年版）〉的通知》（东医保〔2023〕18号）、《关于转发广东省医疗保障局 广东省人力资源和社会保障厅关于调整药品目录（2023年版） 部分内容的通知》（东医保〔2023〕30号）同时废止。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特此通知。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instrText xml:space="preserve"> HYPERLINK "http://hsa.gd.gov.cn/zwdt/snkb/content/post_4306198.html" \t "http://www.dg.gov.cn/ylbzj/xxcx/sdmlcx/content/_blank" </w:instrTex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t>1.广东省医疗保障局 广东省人力资源和社会保障厅关于印发《广东省基本医疗保险、工伤保险和生育保险药品目录（2024年版）》的通知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                  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instrText xml:space="preserve"> HYPERLINK "http://www.dg.gov.cn/attachment/0/231/231396/4133544.xlsx" \t "http://www.dg.gov.cn/ylbzj/xxcx/sdmlcx/content/_blank" </w:instrTex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t>2.部分乙类药品名单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C0504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东莞市医疗保障局          东莞市人力资源和社会保障局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                         2023年12月29日</w:t>
      </w:r>
    </w:p>
    <w:p>
      <w:pPr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45"/>
          <w:szCs w:val="45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黑体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569D9"/>
    <w:rsid w:val="14305E17"/>
    <w:rsid w:val="182C704C"/>
    <w:rsid w:val="3F5569D9"/>
    <w:rsid w:val="3F820779"/>
    <w:rsid w:val="622B611D"/>
    <w:rsid w:val="6F62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8">
    <w:name w:val="样式1"/>
    <w:basedOn w:val="1"/>
    <w:uiPriority w:val="0"/>
    <w:rPr>
      <w:rFonts w:hint="default" w:eastAsia="仿宋_GB2312" w:asciiTheme="minorAscii" w:hAnsiTheme="minorAscii"/>
      <w:sz w:val="32"/>
    </w:rPr>
  </w:style>
  <w:style w:type="paragraph" w:customStyle="1" w:styleId="9">
    <w:name w:val="样式2"/>
    <w:basedOn w:val="1"/>
    <w:qFormat/>
    <w:uiPriority w:val="0"/>
    <w:pPr>
      <w:spacing w:line="600" w:lineRule="exact"/>
      <w:ind w:left="420" w:leftChars="200"/>
    </w:pPr>
    <w:rPr>
      <w:rFonts w:hint="default" w:ascii="仿宋_GB2312" w:hAnsi="仿宋_GB2312" w:eastAsia="仿宋_GB2312"/>
      <w:szCs w:val="22"/>
    </w:rPr>
  </w:style>
  <w:style w:type="paragraph" w:customStyle="1" w:styleId="10">
    <w:name w:val="办文格式"/>
    <w:basedOn w:val="4"/>
    <w:next w:val="2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DFDFE"/>
      <w:tabs>
        <w:tab w:val="left" w:pos="567"/>
      </w:tabs>
      <w:spacing w:before="210" w:line="720" w:lineRule="exact"/>
      <w:ind w:firstLine="320" w:firstLineChars="100"/>
    </w:pPr>
    <w:rPr>
      <w:rFonts w:hint="eastAsia" w:ascii="黑体" w:hAnsi="黑体" w:eastAsia="方正小标宋简体" w:cs="黑体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2024-07-10T05:17:00Z</dcterms:created>
  <dc:creator>猫猫</dc:creator>
  <cp:lastModifiedBy>猫猫</cp:lastModifiedBy>
  <dcterms:modified xsi:type="dcterms:W3CDTF">2024-07-10T05:27:20Z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6B527297B20244A3BD941AE3C98171D9</vt:lpwstr>
  </property>
</Properties>
</file>