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eastAsia" w:ascii="Times New Roman" w:hAnsi="Times New Roman" w:eastAsia="仿宋_GB2312"/>
          <w:sz w:val="44"/>
          <w:szCs w:val="44"/>
          <w:lang w:val="en-US" w:eastAsia="zh-CN"/>
        </w:rPr>
      </w:pPr>
      <w:r>
        <w:rPr>
          <w:rFonts w:ascii="Times New Roman" w:hAnsi="Times New Roman" w:eastAsia="仿宋_GB2312" w:cs="Times New Roman"/>
          <w:color w:val="000000" w:themeColor="text1"/>
          <w:sz w:val="30"/>
          <w:szCs w:val="30"/>
          <w14:textFill>
            <w14:solidFill>
              <w14:schemeClr w14:val="tx1"/>
            </w14:solidFill>
          </w14:textFill>
        </w:rPr>
        <w:t>附件</w:t>
      </w:r>
      <w:r>
        <w:rPr>
          <w:rFonts w:hint="eastAsia" w:ascii="Times New Roman" w:hAnsi="Times New Roman" w:eastAsia="仿宋_GB2312" w:cs="Times New Roman"/>
          <w:color w:val="000000" w:themeColor="text1"/>
          <w:sz w:val="30"/>
          <w:szCs w:val="30"/>
          <w:lang w:val="en-US" w:eastAsia="zh-CN"/>
          <w14:textFill>
            <w14:solidFill>
              <w14:schemeClr w14:val="tx1"/>
            </w14:solidFill>
          </w14:textFill>
        </w:rPr>
        <w:t>6</w:t>
      </w:r>
    </w:p>
    <w:p>
      <w:pPr>
        <w:adjustRightInd w:val="0"/>
        <w:snapToGrid w:val="0"/>
        <w:spacing w:line="6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val="en-US" w:eastAsia="zh-CN"/>
        </w:rPr>
        <w:t xml:space="preserve"> </w:t>
      </w:r>
      <w:r>
        <w:rPr>
          <w:rFonts w:ascii="Times New Roman" w:hAnsi="Times New Roman" w:eastAsia="方正小标宋简体"/>
          <w:sz w:val="44"/>
          <w:szCs w:val="44"/>
        </w:rPr>
        <w:fldChar w:fldCharType="begin"/>
      </w:r>
      <w:r>
        <w:rPr>
          <w:rFonts w:ascii="Times New Roman" w:hAnsi="Times New Roman" w:eastAsia="方正小标宋简体"/>
          <w:sz w:val="44"/>
          <w:szCs w:val="44"/>
        </w:rPr>
        <w:instrText xml:space="preserve"> </w:instrText>
      </w:r>
      <w:r>
        <w:rPr>
          <w:rFonts w:hint="eastAsia" w:ascii="Times New Roman" w:hAnsi="Times New Roman" w:eastAsia="方正小标宋简体"/>
          <w:sz w:val="44"/>
          <w:szCs w:val="44"/>
        </w:rPr>
        <w:instrText xml:space="preserve">DOCVARIABLE  FlSubject  \* MERGEFORMAT</w:instrText>
      </w:r>
      <w:r>
        <w:rPr>
          <w:rFonts w:ascii="Times New Roman" w:hAnsi="Times New Roman" w:eastAsia="方正小标宋简体"/>
          <w:sz w:val="44"/>
          <w:szCs w:val="44"/>
        </w:rPr>
        <w:instrText xml:space="preserve"> </w:instrText>
      </w:r>
      <w:r>
        <w:rPr>
          <w:rFonts w:ascii="Times New Roman" w:hAnsi="Times New Roman" w:eastAsia="方正小标宋简体"/>
          <w:sz w:val="44"/>
          <w:szCs w:val="44"/>
        </w:rPr>
        <w:fldChar w:fldCharType="separate"/>
      </w:r>
      <w:r>
        <w:rPr>
          <w:rFonts w:hint="eastAsia" w:ascii="Times New Roman" w:hAnsi="Times New Roman" w:eastAsia="方正小标宋简体"/>
          <w:sz w:val="44"/>
          <w:szCs w:val="44"/>
        </w:rPr>
        <w:t>东莞市人力资源和社会保障局关于印发</w:t>
      </w:r>
    </w:p>
    <w:p>
      <w:pPr>
        <w:adjustRightInd w:val="0"/>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《东莞市职业技能竞赛管理办法》的通知</w:t>
      </w:r>
      <w:r>
        <w:rPr>
          <w:rFonts w:ascii="Times New Roman" w:hAnsi="Times New Roman" w:eastAsia="方正小标宋简体"/>
          <w:sz w:val="44"/>
          <w:szCs w:val="44"/>
        </w:rPr>
        <w:fldChar w:fldCharType="end"/>
      </w:r>
    </w:p>
    <w:p>
      <w:pPr>
        <w:adjustRightInd w:val="0"/>
        <w:snapToGrid w:val="0"/>
        <w:spacing w:line="640" w:lineRule="atLeast"/>
        <w:jc w:val="center"/>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东人社发〔</w:t>
      </w:r>
      <w:r>
        <w:rPr>
          <w:rFonts w:ascii="Times New Roman" w:hAnsi="Times New Roman" w:eastAsia="仿宋_GB2312"/>
          <w:color w:val="000000"/>
          <w:sz w:val="32"/>
          <w:szCs w:val="32"/>
        </w:rPr>
        <w:fldChar w:fldCharType="begin"/>
      </w:r>
      <w:r>
        <w:rPr>
          <w:rFonts w:ascii="Times New Roman" w:hAnsi="Times New Roman" w:eastAsia="仿宋_GB2312"/>
          <w:color w:val="000000"/>
          <w:sz w:val="32"/>
          <w:szCs w:val="32"/>
        </w:rPr>
        <w:instrText xml:space="preserve"> DOCVARIABLE  FlFileYear  \* MERGEFORMAT </w:instrText>
      </w:r>
      <w:r>
        <w:rPr>
          <w:rFonts w:ascii="Times New Roman" w:hAnsi="Times New Roman" w:eastAsia="仿宋_GB2312"/>
          <w:color w:val="000000"/>
          <w:sz w:val="32"/>
          <w:szCs w:val="32"/>
        </w:rPr>
        <w:fldChar w:fldCharType="separate"/>
      </w:r>
      <w:r>
        <w:rPr>
          <w:rFonts w:ascii="Times New Roman" w:hAnsi="Times New Roman" w:eastAsia="仿宋_GB2312"/>
          <w:color w:val="000000"/>
          <w:sz w:val="32"/>
          <w:szCs w:val="32"/>
        </w:rPr>
        <w:t>2022</w:t>
      </w:r>
      <w:r>
        <w:rPr>
          <w:rFonts w:ascii="Times New Roman" w:hAnsi="Times New Roman" w:eastAsia="仿宋_GB2312"/>
          <w:color w:val="000000"/>
          <w:sz w:val="32"/>
          <w:szCs w:val="32"/>
        </w:rPr>
        <w:fldChar w:fldCharType="end"/>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27</w:t>
      </w:r>
      <w:r>
        <w:rPr>
          <w:rFonts w:ascii="Times New Roman" w:hAnsi="Times New Roman" w:eastAsia="仿宋_GB2312"/>
          <w:color w:val="000000"/>
          <w:sz w:val="32"/>
          <w:szCs w:val="32"/>
        </w:rPr>
        <w:t>号</w:t>
      </w:r>
      <w:r>
        <w:rPr>
          <w:rFonts w:hint="eastAsia" w:ascii="Times New Roman" w:hAnsi="Times New Roman" w:eastAsia="仿宋_GB2312"/>
          <w:color w:val="000000"/>
          <w:sz w:val="32"/>
          <w:szCs w:val="32"/>
          <w:lang w:eastAsia="zh-CN"/>
        </w:rPr>
        <w:t>）</w:t>
      </w:r>
    </w:p>
    <w:p/>
    <w:p/>
    <w:p>
      <w:pPr>
        <w:pStyle w:val="3"/>
        <w:widowControl w:val="0"/>
        <w:spacing w:before="0" w:beforeAutospacing="0" w:after="0" w:afterAutospacing="0" w:line="600" w:lineRule="exact"/>
        <w:ind w:firstLine="640" w:firstLineChars="200"/>
        <w:jc w:val="both"/>
        <w:rPr>
          <w:rFonts w:eastAsia="仿宋_GB2312"/>
          <w:kern w:val="2"/>
          <w:sz w:val="32"/>
          <w:szCs w:val="32"/>
        </w:rPr>
      </w:pPr>
      <w:r>
        <w:rPr>
          <w:rFonts w:hint="eastAsia" w:ascii="黑体" w:hAnsi="黑体" w:eastAsia="黑体"/>
          <w:kern w:val="2"/>
          <w:sz w:val="32"/>
          <w:szCs w:val="32"/>
        </w:rPr>
        <w:t>第三十二条</w:t>
      </w:r>
      <w:r>
        <w:rPr>
          <w:rFonts w:hint="eastAsia" w:eastAsia="仿宋_GB2312"/>
          <w:kern w:val="2"/>
          <w:sz w:val="32"/>
          <w:szCs w:val="32"/>
        </w:rPr>
        <w:t xml:space="preserve"> 代表东莞市在国际级、国家级、省级竞赛中获得相关奖项名次的选手和教练按以下规定进行奖励：</w:t>
      </w:r>
    </w:p>
    <w:p>
      <w:pPr>
        <w:pStyle w:val="3"/>
        <w:widowControl w:val="0"/>
        <w:spacing w:before="0" w:beforeAutospacing="0" w:after="0" w:afterAutospacing="0" w:line="600" w:lineRule="exact"/>
        <w:ind w:firstLine="640" w:firstLineChars="200"/>
        <w:jc w:val="both"/>
        <w:rPr>
          <w:rFonts w:ascii="Times New Roman" w:eastAsia="仿宋_GB2312"/>
          <w:kern w:val="2"/>
          <w:sz w:val="32"/>
          <w:szCs w:val="32"/>
        </w:rPr>
      </w:pPr>
      <w:r>
        <w:rPr>
          <w:rFonts w:hint="eastAsia" w:eastAsia="仿宋_GB2312"/>
          <w:kern w:val="2"/>
          <w:sz w:val="32"/>
          <w:szCs w:val="32"/>
        </w:rPr>
        <w:t>（一）对单人及双人项目获得前八名的每名选手，有竞赛奖金的按竞赛</w:t>
      </w:r>
      <w:r>
        <w:rPr>
          <w:rFonts w:ascii="Times New Roman" w:eastAsia="仿宋_GB2312"/>
          <w:kern w:val="2"/>
          <w:sz w:val="32"/>
          <w:szCs w:val="32"/>
        </w:rPr>
        <w:t>奖金</w:t>
      </w:r>
      <w:r>
        <w:rPr>
          <w:rFonts w:ascii="Times New Roman" w:hAnsi="Times New Roman" w:eastAsia="仿宋_GB2312"/>
          <w:kern w:val="2"/>
          <w:sz w:val="32"/>
          <w:szCs w:val="32"/>
        </w:rPr>
        <w:t>1:1</w:t>
      </w:r>
      <w:r>
        <w:rPr>
          <w:rFonts w:ascii="Times New Roman" w:eastAsia="仿宋_GB2312"/>
          <w:kern w:val="2"/>
          <w:sz w:val="32"/>
          <w:szCs w:val="32"/>
        </w:rPr>
        <w:t>比例给予配套奖励</w:t>
      </w:r>
      <w:r>
        <w:rPr>
          <w:rFonts w:hint="eastAsia" w:ascii="Times New Roman" w:eastAsia="仿宋_GB2312"/>
          <w:kern w:val="2"/>
          <w:sz w:val="32"/>
          <w:szCs w:val="32"/>
        </w:rPr>
        <w:t>，同一奖项名次有多重奖励的，按就高不就低原则配套奖金；</w:t>
      </w:r>
      <w:r>
        <w:rPr>
          <w:rFonts w:ascii="Times New Roman" w:eastAsia="仿宋_GB2312"/>
          <w:kern w:val="2"/>
          <w:sz w:val="32"/>
          <w:szCs w:val="32"/>
        </w:rPr>
        <w:t>没有竞赛奖金的</w:t>
      </w:r>
      <w:r>
        <w:rPr>
          <w:rFonts w:hint="eastAsia" w:ascii="Times New Roman" w:eastAsia="仿宋_GB2312"/>
          <w:kern w:val="2"/>
          <w:sz w:val="32"/>
          <w:szCs w:val="32"/>
        </w:rPr>
        <w:t>根据竞赛级别分别给予相应的奖金奖励（详见附件）。</w:t>
      </w:r>
    </w:p>
    <w:p>
      <w:pPr>
        <w:pStyle w:val="3"/>
        <w:widowControl w:val="0"/>
        <w:spacing w:before="0" w:beforeAutospacing="0" w:after="0" w:afterAutospacing="0" w:line="600" w:lineRule="exact"/>
        <w:ind w:firstLine="640" w:firstLineChars="200"/>
        <w:jc w:val="both"/>
        <w:rPr>
          <w:rFonts w:ascii="Times New Roman" w:eastAsia="仿宋_GB2312"/>
          <w:kern w:val="2"/>
          <w:sz w:val="32"/>
          <w:szCs w:val="32"/>
        </w:rPr>
      </w:pPr>
      <w:r>
        <w:rPr>
          <w:rFonts w:hint="eastAsia" w:ascii="Times New Roman" w:eastAsia="仿宋_GB2312"/>
          <w:kern w:val="2"/>
          <w:sz w:val="32"/>
          <w:szCs w:val="32"/>
        </w:rPr>
        <w:t>（二）对</w:t>
      </w:r>
      <w:r>
        <w:rPr>
          <w:rFonts w:ascii="Times New Roman" w:eastAsia="仿宋_GB2312"/>
          <w:kern w:val="2"/>
          <w:sz w:val="32"/>
          <w:szCs w:val="32"/>
        </w:rPr>
        <w:t>3</w:t>
      </w:r>
      <w:r>
        <w:rPr>
          <w:rFonts w:hint="eastAsia" w:ascii="Times New Roman" w:eastAsia="仿宋_GB2312"/>
          <w:kern w:val="2"/>
          <w:sz w:val="32"/>
          <w:szCs w:val="32"/>
        </w:rPr>
        <w:t>人以上集体项目获得前八名的每名选手，</w:t>
      </w:r>
      <w:r>
        <w:rPr>
          <w:rFonts w:hint="eastAsia" w:ascii="仿宋_GB2312" w:eastAsia="仿宋_GB2312"/>
          <w:sz w:val="32"/>
          <w:szCs w:val="32"/>
        </w:rPr>
        <w:t>有竞赛奖金的按竞赛奖金</w:t>
      </w:r>
      <w:r>
        <w:rPr>
          <w:rFonts w:ascii="Times New Roman" w:hAnsi="Times New Roman" w:eastAsia="仿宋_GB2312"/>
          <w:sz w:val="32"/>
          <w:szCs w:val="32"/>
        </w:rPr>
        <w:t>1:1</w:t>
      </w:r>
      <w:r>
        <w:rPr>
          <w:rFonts w:hint="eastAsia" w:ascii="仿宋_GB2312" w:eastAsia="仿宋_GB2312"/>
          <w:sz w:val="32"/>
          <w:szCs w:val="32"/>
        </w:rPr>
        <w:t>比例给予配套奖励，</w:t>
      </w:r>
      <w:r>
        <w:rPr>
          <w:rFonts w:hint="eastAsia" w:ascii="Times New Roman" w:eastAsia="仿宋_GB2312"/>
          <w:kern w:val="2"/>
          <w:sz w:val="32"/>
          <w:szCs w:val="32"/>
        </w:rPr>
        <w:t>同一奖项名次有多重奖励的，按就高不就低原则配套奖金；</w:t>
      </w:r>
      <w:r>
        <w:rPr>
          <w:rFonts w:hint="eastAsia" w:ascii="仿宋_GB2312" w:eastAsia="仿宋_GB2312"/>
          <w:sz w:val="32"/>
          <w:szCs w:val="32"/>
        </w:rPr>
        <w:t>没有竞赛奖金的根据竞赛级别分别给予相应奖金标准（详见附件）</w:t>
      </w:r>
      <w:r>
        <w:rPr>
          <w:rFonts w:ascii="Times New Roman" w:hAnsi="Times New Roman" w:eastAsia="仿宋_GB2312"/>
          <w:kern w:val="2"/>
          <w:sz w:val="32"/>
          <w:szCs w:val="32"/>
        </w:rPr>
        <w:t>50</w:t>
      </w:r>
      <w:r>
        <w:rPr>
          <w:rFonts w:hint="eastAsia" w:ascii="Times New Roman" w:hAnsi="Times New Roman" w:eastAsia="仿宋_GB2312"/>
          <w:kern w:val="2"/>
          <w:sz w:val="32"/>
          <w:szCs w:val="32"/>
        </w:rPr>
        <w:t>%的</w:t>
      </w:r>
      <w:r>
        <w:rPr>
          <w:rFonts w:hint="eastAsia" w:ascii="仿宋_GB2312" w:eastAsia="仿宋_GB2312"/>
          <w:sz w:val="32"/>
          <w:szCs w:val="32"/>
        </w:rPr>
        <w:t>奖金奖励。</w:t>
      </w:r>
    </w:p>
    <w:p>
      <w:pPr>
        <w:pStyle w:val="3"/>
        <w:widowControl w:val="0"/>
        <w:spacing w:before="0" w:beforeAutospacing="0" w:after="0" w:afterAutospacing="0" w:line="600" w:lineRule="exact"/>
        <w:ind w:firstLine="640" w:firstLineChars="200"/>
        <w:jc w:val="both"/>
        <w:rPr>
          <w:rFonts w:ascii="Times New Roman" w:eastAsia="仿宋_GB2312"/>
          <w:kern w:val="2"/>
          <w:sz w:val="32"/>
          <w:szCs w:val="32"/>
        </w:rPr>
      </w:pPr>
      <w:r>
        <w:rPr>
          <w:rFonts w:hint="eastAsia" w:ascii="Times New Roman" w:eastAsia="仿宋_GB2312"/>
          <w:kern w:val="2"/>
          <w:sz w:val="32"/>
          <w:szCs w:val="32"/>
        </w:rPr>
        <w:t>（三）对获得多个项目名次的选手，按其获得名次奖金可以累计。</w:t>
      </w:r>
    </w:p>
    <w:p>
      <w:pPr>
        <w:pStyle w:val="3"/>
        <w:widowControl w:val="0"/>
        <w:spacing w:before="0" w:beforeAutospacing="0" w:after="0" w:afterAutospacing="0" w:line="600" w:lineRule="exact"/>
        <w:ind w:firstLine="640" w:firstLineChars="200"/>
        <w:jc w:val="both"/>
        <w:rPr>
          <w:rFonts w:hint="eastAsia" w:ascii="Times New Roman" w:eastAsia="仿宋_GB2312"/>
          <w:kern w:val="2"/>
          <w:sz w:val="32"/>
          <w:szCs w:val="32"/>
        </w:rPr>
      </w:pPr>
      <w:r>
        <w:rPr>
          <w:rFonts w:hint="eastAsia" w:ascii="Times New Roman" w:eastAsia="仿宋_GB2312"/>
          <w:kern w:val="2"/>
          <w:sz w:val="32"/>
          <w:szCs w:val="32"/>
        </w:rPr>
        <w:t>（四）对教练团队按所带选手获得奖金（如同一奖项名次有多重奖励的，按就高不就低原则计算；如</w:t>
      </w:r>
      <w:r>
        <w:rPr>
          <w:rFonts w:hint="eastAsia" w:eastAsia="仿宋_GB2312"/>
          <w:kern w:val="2"/>
          <w:sz w:val="32"/>
          <w:szCs w:val="32"/>
        </w:rPr>
        <w:t>竞赛设有奖金的，计算奖金时</w:t>
      </w:r>
      <w:r>
        <w:rPr>
          <w:rFonts w:hint="eastAsia" w:ascii="Times New Roman" w:eastAsia="仿宋_GB2312"/>
          <w:kern w:val="2"/>
          <w:sz w:val="32"/>
          <w:szCs w:val="32"/>
        </w:rPr>
        <w:t>不含市配套奖金）的50%给予奖励，由所在单位根据贡献大小合理分配。</w:t>
      </w:r>
    </w:p>
    <w:p>
      <w:pPr>
        <w:pStyle w:val="3"/>
        <w:widowControl w:val="0"/>
        <w:spacing w:before="0" w:beforeAutospacing="0" w:after="0" w:afterAutospacing="0" w:line="600" w:lineRule="exact"/>
        <w:ind w:firstLine="640" w:firstLineChars="200"/>
        <w:jc w:val="both"/>
        <w:rPr>
          <w:rFonts w:hint="eastAsia" w:ascii="Times New Roman" w:eastAsia="仿宋_GB2312"/>
          <w:kern w:val="2"/>
          <w:sz w:val="32"/>
          <w:szCs w:val="32"/>
        </w:rPr>
      </w:pPr>
    </w:p>
    <w:p>
      <w:pPr>
        <w:sectPr>
          <w:pgSz w:w="11906" w:h="16838"/>
          <w:pgMar w:top="1440" w:right="1800" w:bottom="1440" w:left="1800" w:header="851" w:footer="992" w:gutter="0"/>
          <w:cols w:space="425" w:num="1"/>
          <w:docGrid w:type="lines" w:linePitch="312" w:charSpace="0"/>
        </w:sectPr>
      </w:pPr>
      <w:bookmarkStart w:id="0" w:name="_GoBack"/>
      <w:bookmarkEnd w:id="0"/>
    </w:p>
    <w:p>
      <w:pPr>
        <w:rPr>
          <w:rFonts w:ascii="黑体" w:hAnsi="黑体" w:eastAsia="黑体"/>
          <w:sz w:val="32"/>
          <w:szCs w:val="32"/>
        </w:rPr>
      </w:pPr>
      <w:r>
        <w:rPr>
          <w:rFonts w:ascii="黑体" w:hAnsi="黑体" w:eastAsia="黑体"/>
          <w:sz w:val="32"/>
          <w:szCs w:val="32"/>
        </w:rPr>
        <w:t>附件</w:t>
      </w:r>
    </w:p>
    <w:tbl>
      <w:tblPr>
        <w:tblStyle w:val="4"/>
        <w:tblpPr w:leftFromText="180" w:rightFromText="180" w:vertAnchor="page" w:horzAnchor="margin" w:tblpX="-765" w:tblpY="3061"/>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3861"/>
        <w:gridCol w:w="992"/>
        <w:gridCol w:w="992"/>
        <w:gridCol w:w="993"/>
        <w:gridCol w:w="992"/>
        <w:gridCol w:w="992"/>
        <w:gridCol w:w="1134"/>
        <w:gridCol w:w="992"/>
        <w:gridCol w:w="993"/>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2" w:type="dxa"/>
            <w:vMerge w:val="restart"/>
            <w:shd w:val="clear" w:color="auto" w:fill="auto"/>
            <w:noWrap w:val="0"/>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竞赛</w:t>
            </w:r>
          </w:p>
          <w:p>
            <w:pPr>
              <w:jc w:val="center"/>
              <w:rPr>
                <w:rFonts w:ascii="Times New Roman" w:hAnsi="Times New Roman" w:eastAsia="仿宋_GB2312"/>
                <w:bCs/>
                <w:sz w:val="24"/>
                <w:szCs w:val="24"/>
              </w:rPr>
            </w:pPr>
            <w:r>
              <w:rPr>
                <w:rFonts w:ascii="Times New Roman" w:hAnsi="Times New Roman" w:eastAsia="仿宋_GB2312"/>
                <w:bCs/>
                <w:sz w:val="24"/>
                <w:szCs w:val="24"/>
              </w:rPr>
              <w:t>级别</w:t>
            </w:r>
          </w:p>
        </w:tc>
        <w:tc>
          <w:tcPr>
            <w:tcW w:w="3861" w:type="dxa"/>
            <w:vMerge w:val="restart"/>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项目名称</w:t>
            </w:r>
          </w:p>
        </w:tc>
        <w:tc>
          <w:tcPr>
            <w:tcW w:w="8080" w:type="dxa"/>
            <w:gridSpan w:val="8"/>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选手奖金（单位：万元）</w:t>
            </w:r>
          </w:p>
        </w:tc>
        <w:tc>
          <w:tcPr>
            <w:tcW w:w="1917" w:type="dxa"/>
            <w:vMerge w:val="restart"/>
            <w:shd w:val="clear" w:color="auto" w:fill="auto"/>
            <w:noWrap w:val="0"/>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教练团队</w:t>
            </w:r>
          </w:p>
          <w:p>
            <w:pPr>
              <w:jc w:val="center"/>
              <w:rPr>
                <w:rFonts w:ascii="Times New Roman" w:hAnsi="Times New Roman" w:eastAsia="仿宋_GB2312"/>
                <w:bCs/>
                <w:sz w:val="24"/>
                <w:szCs w:val="24"/>
              </w:rPr>
            </w:pPr>
            <w:r>
              <w:rPr>
                <w:rFonts w:ascii="Times New Roman" w:hAnsi="Times New Roman" w:eastAsia="仿宋_GB2312"/>
                <w:bCs/>
                <w:sz w:val="24"/>
                <w:szCs w:val="24"/>
              </w:rPr>
              <w:t>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continue"/>
            <w:shd w:val="clear" w:color="auto" w:fill="auto"/>
            <w:noWrap w:val="0"/>
            <w:vAlign w:val="center"/>
          </w:tcPr>
          <w:p>
            <w:pPr>
              <w:jc w:val="center"/>
              <w:rPr>
                <w:rFonts w:ascii="Times New Roman" w:hAnsi="Times New Roman" w:eastAsia="仿宋_GB2312"/>
                <w:bCs/>
                <w:sz w:val="24"/>
                <w:szCs w:val="24"/>
              </w:rPr>
            </w:pPr>
          </w:p>
        </w:tc>
        <w:tc>
          <w:tcPr>
            <w:tcW w:w="3861" w:type="dxa"/>
            <w:vMerge w:val="continue"/>
            <w:shd w:val="clear" w:color="auto" w:fill="auto"/>
            <w:noWrap w:val="0"/>
            <w:vAlign w:val="center"/>
          </w:tcPr>
          <w:p>
            <w:pPr>
              <w:spacing w:line="480" w:lineRule="exact"/>
              <w:jc w:val="center"/>
              <w:rPr>
                <w:rFonts w:ascii="Times New Roman" w:hAnsi="Times New Roman" w:eastAsia="仿宋_GB2312"/>
                <w:bCs/>
                <w:sz w:val="24"/>
                <w:szCs w:val="24"/>
              </w:rPr>
            </w:pP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第1名</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第2名</w:t>
            </w:r>
          </w:p>
        </w:tc>
        <w:tc>
          <w:tcPr>
            <w:tcW w:w="993"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第3名</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第4名</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第5名</w:t>
            </w:r>
          </w:p>
        </w:tc>
        <w:tc>
          <w:tcPr>
            <w:tcW w:w="1134"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第6名</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第7名</w:t>
            </w:r>
          </w:p>
        </w:tc>
        <w:tc>
          <w:tcPr>
            <w:tcW w:w="993"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第8名</w:t>
            </w:r>
          </w:p>
        </w:tc>
        <w:tc>
          <w:tcPr>
            <w:tcW w:w="1917" w:type="dxa"/>
            <w:vMerge w:val="continue"/>
            <w:shd w:val="clear" w:color="auto" w:fill="auto"/>
            <w:noWrap w:val="0"/>
            <w:vAlign w:val="center"/>
          </w:tcPr>
          <w:p>
            <w:pPr>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2" w:type="dxa"/>
            <w:shd w:val="clear" w:color="auto" w:fill="auto"/>
            <w:noWrap w:val="0"/>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国际级</w:t>
            </w:r>
          </w:p>
        </w:tc>
        <w:tc>
          <w:tcPr>
            <w:tcW w:w="3861"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世界技能大赛</w:t>
            </w:r>
          </w:p>
        </w:tc>
        <w:tc>
          <w:tcPr>
            <w:tcW w:w="992" w:type="dxa"/>
            <w:shd w:val="clear" w:color="auto" w:fill="auto"/>
            <w:noWrap w:val="0"/>
            <w:vAlign w:val="center"/>
          </w:tcPr>
          <w:p>
            <w:pPr>
              <w:tabs>
                <w:tab w:val="center" w:pos="4153"/>
                <w:tab w:val="right" w:pos="8306"/>
              </w:tabs>
              <w:snapToGrid w:val="0"/>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50</w:t>
            </w:r>
          </w:p>
        </w:tc>
        <w:tc>
          <w:tcPr>
            <w:tcW w:w="992" w:type="dxa"/>
            <w:shd w:val="clear" w:color="auto" w:fill="auto"/>
            <w:noWrap w:val="0"/>
            <w:vAlign w:val="center"/>
          </w:tcPr>
          <w:p>
            <w:pPr>
              <w:tabs>
                <w:tab w:val="center" w:pos="4153"/>
                <w:tab w:val="right" w:pos="8306"/>
              </w:tabs>
              <w:snapToGrid w:val="0"/>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30</w:t>
            </w:r>
          </w:p>
        </w:tc>
        <w:tc>
          <w:tcPr>
            <w:tcW w:w="993" w:type="dxa"/>
            <w:shd w:val="clear" w:color="auto" w:fill="auto"/>
            <w:noWrap w:val="0"/>
            <w:vAlign w:val="center"/>
          </w:tcPr>
          <w:p>
            <w:pPr>
              <w:tabs>
                <w:tab w:val="center" w:pos="4153"/>
                <w:tab w:val="right" w:pos="8306"/>
              </w:tabs>
              <w:snapToGrid w:val="0"/>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15</w:t>
            </w:r>
          </w:p>
        </w:tc>
        <w:tc>
          <w:tcPr>
            <w:tcW w:w="992" w:type="dxa"/>
            <w:shd w:val="clear" w:color="auto" w:fill="auto"/>
            <w:noWrap w:val="0"/>
            <w:vAlign w:val="center"/>
          </w:tcPr>
          <w:p>
            <w:pPr>
              <w:tabs>
                <w:tab w:val="center" w:pos="4153"/>
                <w:tab w:val="right" w:pos="8306"/>
              </w:tabs>
              <w:snapToGrid w:val="0"/>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12</w:t>
            </w:r>
          </w:p>
        </w:tc>
        <w:tc>
          <w:tcPr>
            <w:tcW w:w="992" w:type="dxa"/>
            <w:shd w:val="clear" w:color="auto" w:fill="auto"/>
            <w:noWrap w:val="0"/>
            <w:vAlign w:val="center"/>
          </w:tcPr>
          <w:p>
            <w:pPr>
              <w:tabs>
                <w:tab w:val="center" w:pos="4153"/>
                <w:tab w:val="right" w:pos="8306"/>
              </w:tabs>
              <w:snapToGrid w:val="0"/>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10</w:t>
            </w:r>
          </w:p>
        </w:tc>
        <w:tc>
          <w:tcPr>
            <w:tcW w:w="1134" w:type="dxa"/>
            <w:shd w:val="clear" w:color="auto" w:fill="auto"/>
            <w:noWrap w:val="0"/>
            <w:vAlign w:val="center"/>
          </w:tcPr>
          <w:p>
            <w:pPr>
              <w:tabs>
                <w:tab w:val="center" w:pos="4153"/>
                <w:tab w:val="right" w:pos="8306"/>
              </w:tabs>
              <w:snapToGrid w:val="0"/>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8</w:t>
            </w:r>
          </w:p>
        </w:tc>
        <w:tc>
          <w:tcPr>
            <w:tcW w:w="992" w:type="dxa"/>
            <w:shd w:val="clear" w:color="auto" w:fill="auto"/>
            <w:noWrap w:val="0"/>
            <w:vAlign w:val="center"/>
          </w:tcPr>
          <w:p>
            <w:pPr>
              <w:tabs>
                <w:tab w:val="center" w:pos="4153"/>
                <w:tab w:val="right" w:pos="8306"/>
              </w:tabs>
              <w:snapToGrid w:val="0"/>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6</w:t>
            </w:r>
          </w:p>
        </w:tc>
        <w:tc>
          <w:tcPr>
            <w:tcW w:w="993" w:type="dxa"/>
            <w:shd w:val="clear" w:color="auto" w:fill="auto"/>
            <w:noWrap w:val="0"/>
            <w:vAlign w:val="center"/>
          </w:tcPr>
          <w:p>
            <w:pPr>
              <w:tabs>
                <w:tab w:val="center" w:pos="4153"/>
                <w:tab w:val="right" w:pos="8306"/>
              </w:tabs>
              <w:snapToGrid w:val="0"/>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4</w:t>
            </w:r>
          </w:p>
        </w:tc>
        <w:tc>
          <w:tcPr>
            <w:tcW w:w="1917" w:type="dxa"/>
            <w:shd w:val="clear" w:color="auto" w:fill="auto"/>
            <w:noWrap w:val="0"/>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按所带选手获得奖金的50%奖励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992" w:type="dxa"/>
            <w:shd w:val="clear" w:color="auto" w:fill="auto"/>
            <w:noWrap w:val="0"/>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国家级</w:t>
            </w:r>
          </w:p>
        </w:tc>
        <w:tc>
          <w:tcPr>
            <w:tcW w:w="3861"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中华人民共和国职业技能大赛</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10</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6</w:t>
            </w:r>
          </w:p>
        </w:tc>
        <w:tc>
          <w:tcPr>
            <w:tcW w:w="993"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4</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3</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2</w:t>
            </w:r>
          </w:p>
        </w:tc>
        <w:tc>
          <w:tcPr>
            <w:tcW w:w="1134"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1</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0.8</w:t>
            </w:r>
          </w:p>
        </w:tc>
        <w:tc>
          <w:tcPr>
            <w:tcW w:w="993"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0.6</w:t>
            </w:r>
          </w:p>
        </w:tc>
        <w:tc>
          <w:tcPr>
            <w:tcW w:w="1917" w:type="dxa"/>
            <w:shd w:val="clear" w:color="auto" w:fill="auto"/>
            <w:noWrap w:val="0"/>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按所带选手获得奖金的50%奖励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992" w:type="dxa"/>
            <w:shd w:val="clear" w:color="auto" w:fill="auto"/>
            <w:noWrap w:val="0"/>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国家级</w:t>
            </w:r>
          </w:p>
        </w:tc>
        <w:tc>
          <w:tcPr>
            <w:tcW w:w="3861" w:type="dxa"/>
            <w:shd w:val="clear" w:color="auto" w:fill="auto"/>
            <w:noWrap w:val="0"/>
            <w:vAlign w:val="center"/>
          </w:tcPr>
          <w:p>
            <w:pPr>
              <w:jc w:val="left"/>
              <w:rPr>
                <w:rFonts w:ascii="Times New Roman" w:hAnsi="Times New Roman" w:eastAsia="仿宋_GB2312"/>
                <w:bCs/>
                <w:sz w:val="24"/>
                <w:szCs w:val="24"/>
              </w:rPr>
            </w:pPr>
            <w:r>
              <w:rPr>
                <w:rFonts w:hint="eastAsia" w:eastAsia="仿宋_GB2312"/>
                <w:sz w:val="24"/>
                <w:szCs w:val="24"/>
              </w:rPr>
              <w:t>全国乡村振兴职业技能大赛、全国新职业技术技能大赛、</w:t>
            </w:r>
            <w:r>
              <w:rPr>
                <w:rFonts w:eastAsia="仿宋_GB2312"/>
                <w:sz w:val="24"/>
                <w:szCs w:val="24"/>
              </w:rPr>
              <w:t>全国行业职业技能竞赛（一类、二类）</w:t>
            </w:r>
            <w:r>
              <w:rPr>
                <w:rFonts w:hint="eastAsia" w:eastAsia="仿宋_GB2312"/>
                <w:sz w:val="24"/>
                <w:szCs w:val="24"/>
              </w:rPr>
              <w:t>等同级别竞赛</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3</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1.5</w:t>
            </w:r>
          </w:p>
        </w:tc>
        <w:tc>
          <w:tcPr>
            <w:tcW w:w="993"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1</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0.8</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0.6</w:t>
            </w:r>
          </w:p>
        </w:tc>
        <w:tc>
          <w:tcPr>
            <w:tcW w:w="1134"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0.4</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0.3</w:t>
            </w:r>
          </w:p>
        </w:tc>
        <w:tc>
          <w:tcPr>
            <w:tcW w:w="993"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0.3</w:t>
            </w:r>
          </w:p>
        </w:tc>
        <w:tc>
          <w:tcPr>
            <w:tcW w:w="1917" w:type="dxa"/>
            <w:shd w:val="clear" w:color="auto" w:fill="auto"/>
            <w:noWrap w:val="0"/>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按所带选手获得奖金的50%奖励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992" w:type="dxa"/>
            <w:shd w:val="clear" w:color="auto" w:fill="auto"/>
            <w:noWrap w:val="0"/>
            <w:vAlign w:val="center"/>
          </w:tcPr>
          <w:p>
            <w:pPr>
              <w:spacing w:line="480" w:lineRule="exact"/>
              <w:ind w:firstLine="120" w:firstLineChars="50"/>
              <w:jc w:val="center"/>
              <w:rPr>
                <w:rFonts w:ascii="Times New Roman" w:hAnsi="Times New Roman" w:eastAsia="仿宋_GB2312"/>
                <w:bCs/>
                <w:sz w:val="24"/>
                <w:szCs w:val="24"/>
              </w:rPr>
            </w:pPr>
            <w:r>
              <w:rPr>
                <w:rFonts w:ascii="Times New Roman" w:hAnsi="Times New Roman" w:eastAsia="仿宋_GB2312"/>
                <w:bCs/>
                <w:sz w:val="24"/>
                <w:szCs w:val="24"/>
              </w:rPr>
              <w:t>省级</w:t>
            </w:r>
          </w:p>
        </w:tc>
        <w:tc>
          <w:tcPr>
            <w:tcW w:w="3861" w:type="dxa"/>
            <w:shd w:val="clear" w:color="auto" w:fill="auto"/>
            <w:noWrap w:val="0"/>
            <w:vAlign w:val="center"/>
          </w:tcPr>
          <w:p>
            <w:pPr>
              <w:jc w:val="left"/>
              <w:rPr>
                <w:rFonts w:ascii="Times New Roman" w:hAnsi="Times New Roman" w:eastAsia="仿宋_GB2312"/>
                <w:bCs/>
                <w:sz w:val="24"/>
                <w:szCs w:val="24"/>
              </w:rPr>
            </w:pPr>
            <w:r>
              <w:rPr>
                <w:rFonts w:eastAsia="仿宋_GB2312"/>
                <w:sz w:val="24"/>
                <w:szCs w:val="24"/>
              </w:rPr>
              <w:t>广东省职业技能大赛、</w:t>
            </w:r>
            <w:r>
              <w:rPr>
                <w:rFonts w:hint="eastAsia" w:eastAsia="仿宋_GB2312"/>
                <w:sz w:val="24"/>
                <w:szCs w:val="24"/>
              </w:rPr>
              <w:t>广东省乡村振兴职业技能大赛、广东省新职业技术技能大赛</w:t>
            </w:r>
            <w:r>
              <w:rPr>
                <w:rFonts w:eastAsia="仿宋_GB2312"/>
                <w:sz w:val="24"/>
                <w:szCs w:val="24"/>
              </w:rPr>
              <w:t>、粤港澳大湾区粤菜师傅技能大赛</w:t>
            </w:r>
            <w:r>
              <w:rPr>
                <w:rFonts w:hint="eastAsia" w:eastAsia="仿宋_GB2312"/>
                <w:sz w:val="24"/>
                <w:szCs w:val="24"/>
              </w:rPr>
              <w:t>、</w:t>
            </w:r>
            <w:r>
              <w:rPr>
                <w:rFonts w:eastAsia="仿宋_GB2312"/>
                <w:sz w:val="24"/>
                <w:szCs w:val="24"/>
              </w:rPr>
              <w:t>广东省南粤家政技能大赛</w:t>
            </w:r>
            <w:r>
              <w:rPr>
                <w:rFonts w:hint="eastAsia" w:eastAsia="仿宋_GB2312"/>
                <w:sz w:val="24"/>
                <w:szCs w:val="24"/>
              </w:rPr>
              <w:t>、</w:t>
            </w:r>
            <w:r>
              <w:rPr>
                <w:rFonts w:eastAsia="仿宋_GB2312"/>
                <w:sz w:val="24"/>
                <w:szCs w:val="24"/>
              </w:rPr>
              <w:t>广东省行业职业技能竞赛</w:t>
            </w:r>
            <w:r>
              <w:rPr>
                <w:rFonts w:hint="eastAsia" w:eastAsia="仿宋_GB2312"/>
                <w:sz w:val="24"/>
                <w:szCs w:val="24"/>
              </w:rPr>
              <w:t>（</w:t>
            </w:r>
            <w:r>
              <w:rPr>
                <w:rFonts w:eastAsia="仿宋_GB2312"/>
                <w:sz w:val="24"/>
                <w:szCs w:val="24"/>
              </w:rPr>
              <w:t>一类</w:t>
            </w:r>
            <w:r>
              <w:rPr>
                <w:rFonts w:hint="eastAsia" w:eastAsia="仿宋_GB2312"/>
                <w:sz w:val="24"/>
                <w:szCs w:val="24"/>
              </w:rPr>
              <w:t>、二类）等同级别竞赛</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1</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0.8</w:t>
            </w:r>
          </w:p>
        </w:tc>
        <w:tc>
          <w:tcPr>
            <w:tcW w:w="993"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0.5</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0.4</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0.3</w:t>
            </w:r>
          </w:p>
        </w:tc>
        <w:tc>
          <w:tcPr>
            <w:tcW w:w="1134"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0.2</w:t>
            </w:r>
          </w:p>
        </w:tc>
        <w:tc>
          <w:tcPr>
            <w:tcW w:w="992"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0.2</w:t>
            </w:r>
          </w:p>
        </w:tc>
        <w:tc>
          <w:tcPr>
            <w:tcW w:w="993" w:type="dxa"/>
            <w:shd w:val="clear" w:color="auto" w:fill="auto"/>
            <w:noWrap w:val="0"/>
            <w:vAlign w:val="center"/>
          </w:tcPr>
          <w:p>
            <w:pPr>
              <w:spacing w:line="480" w:lineRule="exact"/>
              <w:jc w:val="center"/>
              <w:rPr>
                <w:rFonts w:ascii="Times New Roman" w:hAnsi="Times New Roman" w:eastAsia="仿宋_GB2312"/>
                <w:bCs/>
                <w:sz w:val="24"/>
                <w:szCs w:val="24"/>
              </w:rPr>
            </w:pPr>
            <w:r>
              <w:rPr>
                <w:rFonts w:ascii="Times New Roman" w:hAnsi="Times New Roman" w:eastAsia="仿宋_GB2312"/>
                <w:bCs/>
                <w:sz w:val="24"/>
                <w:szCs w:val="24"/>
              </w:rPr>
              <w:t>0.2</w:t>
            </w:r>
          </w:p>
        </w:tc>
        <w:tc>
          <w:tcPr>
            <w:tcW w:w="1917" w:type="dxa"/>
            <w:shd w:val="clear" w:color="auto" w:fill="auto"/>
            <w:noWrap w:val="0"/>
            <w:vAlign w:val="center"/>
          </w:tcPr>
          <w:p>
            <w:pPr>
              <w:jc w:val="center"/>
              <w:rPr>
                <w:rFonts w:ascii="Times New Roman" w:hAnsi="Times New Roman" w:eastAsia="仿宋_GB2312"/>
                <w:bCs/>
                <w:sz w:val="24"/>
                <w:szCs w:val="24"/>
              </w:rPr>
            </w:pPr>
            <w:r>
              <w:rPr>
                <w:rFonts w:ascii="Times New Roman" w:hAnsi="Times New Roman" w:eastAsia="仿宋_GB2312"/>
                <w:bCs/>
                <w:sz w:val="24"/>
                <w:szCs w:val="24"/>
              </w:rPr>
              <w:t>按所带选手获得奖金的50%奖励</w:t>
            </w:r>
          </w:p>
        </w:tc>
      </w:tr>
    </w:tbl>
    <w:p>
      <w:pPr>
        <w:jc w:val="center"/>
        <w:rPr>
          <w:rFonts w:ascii="方正小标宋简体" w:eastAsia="方正小标宋简体"/>
        </w:rPr>
      </w:pPr>
      <w:r>
        <w:rPr>
          <w:rFonts w:hint="eastAsia" w:ascii="方正小标宋简体" w:eastAsia="方正小标宋简体"/>
          <w:sz w:val="36"/>
          <w:szCs w:val="36"/>
        </w:rPr>
        <w:t>省级以上竞赛获奖选手东莞市奖金标准明细表</w:t>
      </w:r>
    </w:p>
    <w:p>
      <w:pPr>
        <w:rPr>
          <w:rFonts w:hint="default" w:eastAsia="宋体"/>
          <w:lang w:val="en-US" w:eastAsia="zh-CN"/>
        </w:rPr>
      </w:pPr>
      <w:r>
        <w:rPr>
          <w:rFonts w:hint="eastAsia" w:ascii="仿宋_GB2312" w:eastAsia="仿宋_GB2312"/>
          <w:sz w:val="24"/>
          <w:szCs w:val="24"/>
        </w:rPr>
        <w:t>备注：此表适用于代表东莞市参加省级以上竞赛的选手获得相关奖项名次而该竞赛没有设置竞赛奖金的情形。</w:t>
      </w:r>
      <w:r>
        <w:rPr>
          <w:rFonts w:hint="eastAsia"/>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ZmNiYTg3MDMyODFhNzE1OWEyNjhhNDhiMmZlYjgifQ=="/>
  </w:docVars>
  <w:rsids>
    <w:rsidRoot w:val="13B22FEC"/>
    <w:rsid w:val="01FA65AD"/>
    <w:rsid w:val="054D2E98"/>
    <w:rsid w:val="08000695"/>
    <w:rsid w:val="0B8D2240"/>
    <w:rsid w:val="0C104C1F"/>
    <w:rsid w:val="10F863AD"/>
    <w:rsid w:val="112F5B47"/>
    <w:rsid w:val="117B0D8C"/>
    <w:rsid w:val="12D469A6"/>
    <w:rsid w:val="133E02C4"/>
    <w:rsid w:val="13B22FEC"/>
    <w:rsid w:val="15D1541F"/>
    <w:rsid w:val="1C493F61"/>
    <w:rsid w:val="1C536B8E"/>
    <w:rsid w:val="1DDE692B"/>
    <w:rsid w:val="22883309"/>
    <w:rsid w:val="24207C9D"/>
    <w:rsid w:val="25EC3BAF"/>
    <w:rsid w:val="29424212"/>
    <w:rsid w:val="2B51698E"/>
    <w:rsid w:val="2CD94E8D"/>
    <w:rsid w:val="2DC07DFB"/>
    <w:rsid w:val="346A0AC1"/>
    <w:rsid w:val="34DA79F4"/>
    <w:rsid w:val="39E60BE9"/>
    <w:rsid w:val="3AD2116E"/>
    <w:rsid w:val="3C3A521C"/>
    <w:rsid w:val="44F00B6E"/>
    <w:rsid w:val="4F561F16"/>
    <w:rsid w:val="52727066"/>
    <w:rsid w:val="576F1DC6"/>
    <w:rsid w:val="58A27F7A"/>
    <w:rsid w:val="5A601E9A"/>
    <w:rsid w:val="5ADF7263"/>
    <w:rsid w:val="5AF80325"/>
    <w:rsid w:val="5DB76275"/>
    <w:rsid w:val="5EA52572"/>
    <w:rsid w:val="66C11F13"/>
    <w:rsid w:val="687419EA"/>
    <w:rsid w:val="6A95501C"/>
    <w:rsid w:val="6BD3071E"/>
    <w:rsid w:val="6D5E04BB"/>
    <w:rsid w:val="745919DD"/>
    <w:rsid w:val="77770AF7"/>
    <w:rsid w:val="79CE0777"/>
    <w:rsid w:val="7AD65B35"/>
    <w:rsid w:val="7F45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kern w:val="0"/>
      <w:sz w:val="24"/>
      <w:szCs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2024-02-20T07:34:00Z</dcterms:created>
  <dc:creator>胡椒Hans</dc:creator>
  <cp:lastModifiedBy>胡椒Hans</cp:lastModifiedBy>
  <dcterms:modified xsi:type="dcterms:W3CDTF">2024-02-20T07:47:19Z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6C7EFCE4C21B48F690F3A289191E372A_11</vt:lpwstr>
  </property>
</Properties>
</file>