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CE66A">
      <w:pPr>
        <w:tabs>
          <w:tab w:val="left" w:pos="8280"/>
        </w:tabs>
        <w:spacing w:line="360" w:lineRule="auto"/>
        <w:rPr>
          <w:rFonts w:ascii="仿宋_GB2312" w:hAnsi="宋体" w:eastAsia="仿宋_GB2312"/>
          <w:b/>
          <w:color w:val="auto"/>
          <w:sz w:val="28"/>
        </w:rPr>
      </w:pPr>
    </w:p>
    <w:p w14:paraId="35FEF766">
      <w:pPr>
        <w:tabs>
          <w:tab w:val="left" w:pos="8280"/>
        </w:tabs>
        <w:spacing w:line="360" w:lineRule="auto"/>
        <w:rPr>
          <w:rFonts w:ascii="仿宋_GB2312" w:hAnsi="宋体" w:eastAsia="仿宋_GB2312"/>
          <w:b/>
          <w:color w:val="auto"/>
          <w:sz w:val="28"/>
        </w:rPr>
      </w:pPr>
    </w:p>
    <w:p w14:paraId="788C274C">
      <w:pPr>
        <w:tabs>
          <w:tab w:val="left" w:pos="8280"/>
        </w:tabs>
        <w:spacing w:line="360" w:lineRule="auto"/>
        <w:rPr>
          <w:rFonts w:ascii="仿宋_GB2312" w:hAnsi="宋体" w:eastAsia="仿宋_GB2312"/>
          <w:b/>
          <w:color w:val="auto"/>
          <w:sz w:val="28"/>
        </w:rPr>
      </w:pPr>
    </w:p>
    <w:p w14:paraId="6E70BF81">
      <w:pPr>
        <w:pStyle w:val="9"/>
        <w:tabs>
          <w:tab w:val="left" w:pos="8280"/>
        </w:tabs>
        <w:spacing w:line="360" w:lineRule="auto"/>
        <w:outlineLvl w:val="0"/>
        <w:rPr>
          <w:rFonts w:ascii="仿宋_GB2312" w:hAnsi="宋体" w:eastAsia="仿宋_GB2312"/>
          <w:color w:val="auto"/>
          <w:sz w:val="52"/>
          <w:szCs w:val="52"/>
        </w:rPr>
      </w:pPr>
      <w:r>
        <w:rPr>
          <w:rFonts w:hint="eastAsia" w:ascii="仿宋_GB2312" w:hAnsi="宋体" w:eastAsia="仿宋_GB2312"/>
          <w:color w:val="auto"/>
          <w:sz w:val="52"/>
          <w:szCs w:val="52"/>
        </w:rPr>
        <w:t xml:space="preserve"> 议价比价采购文件</w:t>
      </w:r>
    </w:p>
    <w:p w14:paraId="72B665CA">
      <w:pPr>
        <w:tabs>
          <w:tab w:val="left" w:pos="8280"/>
        </w:tabs>
        <w:spacing w:line="360" w:lineRule="auto"/>
        <w:rPr>
          <w:rFonts w:ascii="仿宋_GB2312" w:hAnsi="宋体" w:eastAsia="仿宋_GB2312"/>
          <w:color w:val="auto"/>
          <w:sz w:val="28"/>
        </w:rPr>
      </w:pPr>
      <w:r>
        <w:rPr>
          <w:rFonts w:hint="eastAsia" w:ascii="仿宋_GB2312" w:hAnsi="宋体" w:eastAsia="仿宋_GB2312"/>
          <w:color w:val="auto"/>
          <w:sz w:val="28"/>
        </w:rPr>
        <w:t xml:space="preserve">              </w:t>
      </w:r>
    </w:p>
    <w:p w14:paraId="2651D565">
      <w:pPr>
        <w:tabs>
          <w:tab w:val="left" w:pos="8280"/>
        </w:tabs>
        <w:spacing w:line="360" w:lineRule="auto"/>
        <w:jc w:val="center"/>
        <w:rPr>
          <w:rFonts w:ascii="仿宋_GB2312" w:hAnsi="宋体" w:eastAsia="仿宋_GB2312"/>
          <w:b/>
          <w:color w:val="auto"/>
          <w:sz w:val="28"/>
        </w:rPr>
      </w:pPr>
    </w:p>
    <w:p w14:paraId="77D74581">
      <w:pPr>
        <w:tabs>
          <w:tab w:val="left" w:pos="8280"/>
        </w:tabs>
        <w:spacing w:line="360" w:lineRule="auto"/>
        <w:rPr>
          <w:rFonts w:hint="eastAsia" w:ascii="仿宋_GB2312" w:hAnsi="Times New Roman" w:eastAsia="仿宋_GB2312" w:cs="Times New Roman"/>
          <w:b/>
          <w:bCs w:val="0"/>
          <w:color w:val="auto"/>
          <w:sz w:val="32"/>
          <w:szCs w:val="32"/>
          <w:highlight w:val="none"/>
          <w:lang w:val="zh-CN"/>
        </w:rPr>
      </w:pPr>
      <w:r>
        <w:rPr>
          <w:rFonts w:hint="eastAsia" w:ascii="仿宋_GB2312" w:eastAsia="仿宋_GB2312"/>
          <w:b/>
          <w:color w:val="auto"/>
          <w:sz w:val="32"/>
          <w:szCs w:val="32"/>
          <w:lang w:val="zh-CN"/>
        </w:rPr>
        <w:t>项目名称:</w:t>
      </w:r>
      <w:r>
        <w:rPr>
          <w:rFonts w:hint="eastAsia" w:ascii="仿宋_GB2312" w:eastAsia="仿宋_GB2312"/>
          <w:b/>
          <w:color w:val="auto"/>
          <w:sz w:val="32"/>
          <w:szCs w:val="32"/>
          <w:highlight w:val="none"/>
          <w:lang w:val="zh-CN"/>
        </w:rPr>
        <w:t xml:space="preserve"> </w:t>
      </w:r>
      <w:bookmarkStart w:id="0" w:name="OLE_LINK5"/>
      <w:r>
        <w:rPr>
          <w:rFonts w:hint="eastAsia" w:ascii="仿宋_GB2312" w:hAnsi="Times New Roman" w:eastAsia="仿宋_GB2312" w:cs="Times New Roman"/>
          <w:b/>
          <w:bCs w:val="0"/>
          <w:color w:val="auto"/>
          <w:sz w:val="32"/>
          <w:szCs w:val="32"/>
          <w:highlight w:val="none"/>
          <w:lang w:val="zh-CN"/>
        </w:rPr>
        <w:t>2026年度东莞市工伤保险协议机构监督检查技术性</w:t>
      </w:r>
    </w:p>
    <w:p w14:paraId="7EB8CCD1">
      <w:pPr>
        <w:tabs>
          <w:tab w:val="left" w:pos="8280"/>
        </w:tabs>
        <w:spacing w:line="360" w:lineRule="auto"/>
        <w:ind w:firstLine="1606" w:firstLineChars="500"/>
        <w:rPr>
          <w:rFonts w:hint="eastAsia" w:ascii="仿宋_GB2312" w:eastAsia="仿宋_GB2312"/>
          <w:b/>
          <w:color w:val="auto"/>
          <w:sz w:val="32"/>
          <w:szCs w:val="32"/>
          <w:lang w:val="en-US" w:eastAsia="zh-CN"/>
        </w:rPr>
      </w:pPr>
      <w:r>
        <w:rPr>
          <w:rFonts w:hint="eastAsia" w:ascii="仿宋_GB2312" w:hAnsi="Times New Roman" w:eastAsia="仿宋_GB2312" w:cs="Times New Roman"/>
          <w:b/>
          <w:bCs w:val="0"/>
          <w:color w:val="auto"/>
          <w:sz w:val="32"/>
          <w:szCs w:val="32"/>
          <w:highlight w:val="none"/>
          <w:lang w:val="zh-CN"/>
        </w:rPr>
        <w:t>辅助服务</w:t>
      </w:r>
      <w:bookmarkEnd w:id="0"/>
      <w:r>
        <w:rPr>
          <w:rFonts w:hint="eastAsia" w:ascii="仿宋_GB2312" w:eastAsia="仿宋_GB2312" w:cs="Times New Roman"/>
          <w:b/>
          <w:bCs w:val="0"/>
          <w:color w:val="auto"/>
          <w:sz w:val="32"/>
          <w:szCs w:val="32"/>
          <w:highlight w:val="none"/>
          <w:lang w:val="en-US" w:eastAsia="zh-CN"/>
        </w:rPr>
        <w:t>项目（二次）</w:t>
      </w:r>
    </w:p>
    <w:p w14:paraId="5164D9B9">
      <w:pPr>
        <w:tabs>
          <w:tab w:val="left" w:pos="8280"/>
        </w:tabs>
        <w:spacing w:line="360" w:lineRule="auto"/>
        <w:rPr>
          <w:rFonts w:hint="eastAsia" w:ascii="仿宋_GB2312" w:eastAsia="仿宋_GB2312"/>
          <w:b/>
          <w:color w:val="auto"/>
          <w:sz w:val="32"/>
          <w:szCs w:val="32"/>
          <w:lang w:val="zh-CN"/>
        </w:rPr>
      </w:pPr>
    </w:p>
    <w:p w14:paraId="2689E64E">
      <w:pPr>
        <w:tabs>
          <w:tab w:val="left" w:pos="8280"/>
        </w:tabs>
        <w:spacing w:line="360" w:lineRule="auto"/>
        <w:jc w:val="center"/>
        <w:rPr>
          <w:rFonts w:ascii="仿宋_GB2312" w:hAnsi="宋体" w:eastAsia="仿宋_GB2312"/>
          <w:b/>
          <w:color w:val="auto"/>
          <w:sz w:val="28"/>
        </w:rPr>
      </w:pPr>
    </w:p>
    <w:p w14:paraId="461B2776">
      <w:pPr>
        <w:tabs>
          <w:tab w:val="left" w:pos="8280"/>
        </w:tabs>
        <w:spacing w:line="360" w:lineRule="auto"/>
        <w:jc w:val="center"/>
        <w:rPr>
          <w:rFonts w:ascii="仿宋_GB2312" w:hAnsi="宋体" w:eastAsia="仿宋_GB2312"/>
          <w:b/>
          <w:color w:val="auto"/>
          <w:sz w:val="28"/>
        </w:rPr>
      </w:pPr>
    </w:p>
    <w:p w14:paraId="565B8D84">
      <w:pPr>
        <w:tabs>
          <w:tab w:val="left" w:pos="8280"/>
        </w:tabs>
        <w:spacing w:line="360" w:lineRule="auto"/>
        <w:jc w:val="center"/>
        <w:rPr>
          <w:rFonts w:ascii="仿宋_GB2312" w:hAnsi="宋体" w:eastAsia="仿宋_GB2312"/>
          <w:b/>
          <w:color w:val="auto"/>
          <w:sz w:val="28"/>
        </w:rPr>
      </w:pPr>
    </w:p>
    <w:p w14:paraId="01F52C8B">
      <w:pPr>
        <w:tabs>
          <w:tab w:val="left" w:pos="8280"/>
        </w:tabs>
        <w:spacing w:line="360" w:lineRule="auto"/>
        <w:jc w:val="center"/>
        <w:rPr>
          <w:rFonts w:ascii="仿宋_GB2312" w:hAnsi="宋体" w:eastAsia="仿宋_GB2312"/>
          <w:b/>
          <w:color w:val="auto"/>
          <w:sz w:val="28"/>
        </w:rPr>
      </w:pPr>
    </w:p>
    <w:p w14:paraId="4EE04803">
      <w:pPr>
        <w:tabs>
          <w:tab w:val="left" w:pos="8280"/>
        </w:tabs>
        <w:spacing w:line="360" w:lineRule="auto"/>
        <w:jc w:val="center"/>
        <w:rPr>
          <w:rFonts w:ascii="仿宋_GB2312" w:hAnsi="宋体" w:eastAsia="仿宋_GB2312"/>
          <w:b/>
          <w:color w:val="auto"/>
          <w:sz w:val="28"/>
        </w:rPr>
      </w:pPr>
    </w:p>
    <w:p w14:paraId="7515F943">
      <w:pPr>
        <w:tabs>
          <w:tab w:val="left" w:pos="8280"/>
        </w:tabs>
        <w:spacing w:line="360" w:lineRule="auto"/>
        <w:jc w:val="center"/>
        <w:rPr>
          <w:rFonts w:ascii="仿宋_GB2312" w:hAnsi="宋体" w:eastAsia="仿宋_GB2312"/>
          <w:b/>
          <w:color w:val="auto"/>
          <w:sz w:val="28"/>
        </w:rPr>
      </w:pPr>
    </w:p>
    <w:p w14:paraId="207A0E28">
      <w:pPr>
        <w:tabs>
          <w:tab w:val="left" w:pos="8280"/>
        </w:tabs>
        <w:spacing w:line="360" w:lineRule="auto"/>
        <w:jc w:val="center"/>
        <w:rPr>
          <w:rFonts w:ascii="仿宋_GB2312" w:hAnsi="宋体" w:eastAsia="仿宋_GB2312"/>
          <w:b/>
          <w:color w:val="auto"/>
          <w:sz w:val="28"/>
        </w:rPr>
      </w:pPr>
    </w:p>
    <w:p w14:paraId="5E311441">
      <w:pPr>
        <w:tabs>
          <w:tab w:val="left" w:pos="8280"/>
        </w:tabs>
        <w:spacing w:line="360" w:lineRule="auto"/>
        <w:jc w:val="center"/>
        <w:rPr>
          <w:rFonts w:ascii="仿宋_GB2312" w:hAnsi="宋体" w:eastAsia="仿宋_GB2312"/>
          <w:b/>
          <w:color w:val="auto"/>
          <w:sz w:val="28"/>
        </w:rPr>
      </w:pPr>
    </w:p>
    <w:p w14:paraId="49EE3663">
      <w:pPr>
        <w:tabs>
          <w:tab w:val="left" w:pos="8280"/>
        </w:tabs>
        <w:spacing w:line="360" w:lineRule="auto"/>
        <w:jc w:val="both"/>
        <w:rPr>
          <w:rFonts w:ascii="仿宋_GB2312" w:hAnsi="宋体" w:eastAsia="仿宋_GB2312"/>
          <w:b/>
          <w:color w:val="auto"/>
          <w:sz w:val="28"/>
        </w:rPr>
      </w:pPr>
    </w:p>
    <w:p w14:paraId="154EE745">
      <w:pPr>
        <w:tabs>
          <w:tab w:val="left" w:pos="8280"/>
        </w:tabs>
        <w:spacing w:line="360" w:lineRule="auto"/>
        <w:jc w:val="center"/>
        <w:rPr>
          <w:rFonts w:ascii="仿宋_GB2312" w:hAnsi="宋体" w:eastAsia="仿宋_GB2312"/>
          <w:b/>
          <w:color w:val="auto"/>
          <w:sz w:val="28"/>
        </w:rPr>
      </w:pPr>
    </w:p>
    <w:p w14:paraId="070A738A">
      <w:pPr>
        <w:tabs>
          <w:tab w:val="left" w:pos="8280"/>
        </w:tabs>
        <w:spacing w:line="360" w:lineRule="auto"/>
        <w:jc w:val="center"/>
        <w:rPr>
          <w:rFonts w:ascii="仿宋_GB2312" w:hAnsi="宋体" w:eastAsia="仿宋_GB2312"/>
          <w:b/>
          <w:color w:val="auto"/>
          <w:sz w:val="28"/>
        </w:rPr>
      </w:pPr>
    </w:p>
    <w:p w14:paraId="3BDCFCD1">
      <w:pPr>
        <w:tabs>
          <w:tab w:val="left" w:pos="8280"/>
        </w:tabs>
        <w:spacing w:line="360" w:lineRule="auto"/>
        <w:jc w:val="center"/>
        <w:rPr>
          <w:rFonts w:ascii="仿宋_GB2312" w:hAnsi="宋体" w:eastAsia="仿宋_GB2312"/>
          <w:b/>
          <w:color w:val="auto"/>
          <w:sz w:val="28"/>
        </w:rPr>
      </w:pPr>
    </w:p>
    <w:p w14:paraId="058F1D53">
      <w:pPr>
        <w:tabs>
          <w:tab w:val="left" w:pos="8280"/>
        </w:tabs>
        <w:spacing w:line="360" w:lineRule="auto"/>
        <w:rPr>
          <w:rFonts w:ascii="仿宋_GB2312" w:hAnsi="宋体" w:eastAsia="仿宋_GB2312"/>
          <w:b/>
          <w:color w:val="auto"/>
          <w:sz w:val="28"/>
        </w:rPr>
      </w:pPr>
    </w:p>
    <w:p w14:paraId="647D71F6">
      <w:pPr>
        <w:ind w:firstLine="3213" w:firstLineChars="1000"/>
        <w:rPr>
          <w:color w:val="auto"/>
        </w:rPr>
      </w:pPr>
      <w:r>
        <w:rPr>
          <w:rFonts w:hint="eastAsia" w:ascii="仿宋_GB2312" w:eastAsia="仿宋_GB2312"/>
          <w:b/>
          <w:color w:val="auto"/>
          <w:sz w:val="32"/>
          <w:szCs w:val="32"/>
          <w:lang w:val="zh-CN"/>
        </w:rPr>
        <w:t>东莞市社会保险基金管理中心</w:t>
      </w:r>
    </w:p>
    <w:p w14:paraId="66DEB37F">
      <w:pPr>
        <w:rPr>
          <w:color w:val="auto"/>
        </w:rPr>
      </w:pPr>
    </w:p>
    <w:p w14:paraId="3E10B5B9">
      <w:pPr>
        <w:rPr>
          <w:color w:val="auto"/>
        </w:rPr>
      </w:pPr>
    </w:p>
    <w:p w14:paraId="0FF5EE71">
      <w:pPr>
        <w:pStyle w:val="13"/>
        <w:tabs>
          <w:tab w:val="left" w:pos="8280"/>
        </w:tabs>
        <w:spacing w:line="360" w:lineRule="auto"/>
        <w:jc w:val="center"/>
        <w:outlineLvl w:val="0"/>
        <w:rPr>
          <w:rFonts w:hint="default" w:ascii="仿宋_GB2312" w:hAnsi="宋体" w:eastAsia="仿宋_GB2312"/>
          <w:b/>
          <w:color w:val="auto"/>
          <w:sz w:val="28"/>
        </w:rPr>
        <w:sectPr>
          <w:footerReference r:id="rId3" w:type="default"/>
          <w:footerReference r:id="rId4" w:type="even"/>
          <w:pgSz w:w="11907" w:h="16840"/>
          <w:pgMar w:top="1247" w:right="1134" w:bottom="1247" w:left="1134" w:header="851" w:footer="992" w:gutter="0"/>
          <w:cols w:space="425" w:num="1"/>
          <w:docGrid w:linePitch="312" w:charSpace="0"/>
        </w:sectPr>
      </w:pPr>
      <w:r>
        <w:rPr>
          <w:rFonts w:ascii="仿宋_GB2312" w:hAnsi="宋体" w:eastAsia="仿宋_GB2312"/>
          <w:b/>
          <w:color w:val="auto"/>
          <w:sz w:val="32"/>
          <w:szCs w:val="32"/>
        </w:rPr>
        <w:t xml:space="preserve">   二○二</w:t>
      </w:r>
      <w:r>
        <w:rPr>
          <w:rFonts w:hint="eastAsia" w:ascii="仿宋_GB2312" w:hAnsi="宋体" w:eastAsia="仿宋_GB2312"/>
          <w:b/>
          <w:color w:val="auto"/>
          <w:sz w:val="32"/>
          <w:szCs w:val="32"/>
          <w:lang w:val="en-US" w:eastAsia="zh-CN"/>
        </w:rPr>
        <w:t>六</w:t>
      </w:r>
      <w:r>
        <w:rPr>
          <w:rFonts w:ascii="仿宋_GB2312" w:hAnsi="宋体" w:eastAsia="仿宋_GB2312"/>
          <w:b/>
          <w:color w:val="auto"/>
          <w:sz w:val="32"/>
          <w:szCs w:val="32"/>
        </w:rPr>
        <w:t>年</w:t>
      </w:r>
      <w:r>
        <w:rPr>
          <w:rFonts w:hint="eastAsia" w:ascii="仿宋_GB2312" w:hAnsi="宋体" w:eastAsia="仿宋_GB2312"/>
          <w:b/>
          <w:color w:val="auto"/>
          <w:sz w:val="32"/>
          <w:szCs w:val="32"/>
          <w:lang w:val="en-US" w:eastAsia="zh-CN"/>
        </w:rPr>
        <w:t>七</w:t>
      </w:r>
      <w:r>
        <w:rPr>
          <w:rFonts w:ascii="仿宋_GB2312" w:hAnsi="宋体" w:eastAsia="仿宋_GB2312"/>
          <w:b/>
          <w:color w:val="auto"/>
          <w:sz w:val="32"/>
          <w:szCs w:val="32"/>
        </w:rPr>
        <w:t>月</w:t>
      </w:r>
    </w:p>
    <w:p w14:paraId="2CC51170">
      <w:pPr>
        <w:tabs>
          <w:tab w:val="left" w:pos="8280"/>
        </w:tabs>
        <w:spacing w:line="360" w:lineRule="auto"/>
        <w:jc w:val="center"/>
        <w:outlineLvl w:val="0"/>
        <w:rPr>
          <w:rFonts w:ascii="仿宋_GB2312" w:hAnsi="宋体" w:eastAsia="仿宋_GB2312"/>
          <w:color w:val="auto"/>
          <w:sz w:val="44"/>
          <w:szCs w:val="44"/>
        </w:rPr>
      </w:pPr>
      <w:r>
        <w:rPr>
          <w:rFonts w:hint="eastAsia" w:ascii="仿宋_GB2312" w:hAnsi="宋体" w:eastAsia="仿宋_GB2312"/>
          <w:color w:val="auto"/>
          <w:sz w:val="44"/>
          <w:szCs w:val="44"/>
        </w:rPr>
        <w:t>目  录</w:t>
      </w:r>
    </w:p>
    <w:p w14:paraId="6D1DA9DB">
      <w:pPr>
        <w:tabs>
          <w:tab w:val="left" w:pos="8280"/>
        </w:tabs>
        <w:spacing w:line="360" w:lineRule="auto"/>
        <w:jc w:val="center"/>
        <w:rPr>
          <w:rFonts w:ascii="仿宋_GB2312" w:hAnsi="宋体" w:eastAsia="仿宋_GB2312"/>
          <w:color w:val="auto"/>
          <w:sz w:val="32"/>
          <w:szCs w:val="32"/>
        </w:rPr>
      </w:pPr>
    </w:p>
    <w:p w14:paraId="2A65541E">
      <w:pPr>
        <w:tabs>
          <w:tab w:val="left" w:pos="8280"/>
        </w:tabs>
        <w:spacing w:line="360" w:lineRule="auto"/>
        <w:jc w:val="center"/>
        <w:rPr>
          <w:rFonts w:ascii="仿宋_GB2312" w:hAnsi="宋体" w:eastAsia="仿宋_GB2312"/>
          <w:color w:val="auto"/>
          <w:sz w:val="32"/>
          <w:szCs w:val="32"/>
        </w:rPr>
      </w:pPr>
    </w:p>
    <w:p w14:paraId="1403AB0B">
      <w:pPr>
        <w:tabs>
          <w:tab w:val="left" w:pos="8280"/>
        </w:tabs>
        <w:spacing w:line="360" w:lineRule="auto"/>
        <w:ind w:left="756" w:leftChars="360"/>
        <w:outlineLvl w:val="0"/>
        <w:rPr>
          <w:rFonts w:ascii="仿宋_GB2312" w:hAnsi="宋体" w:eastAsia="仿宋_GB2312"/>
          <w:color w:val="auto"/>
          <w:sz w:val="28"/>
          <w:szCs w:val="28"/>
        </w:rPr>
      </w:pPr>
      <w:r>
        <w:rPr>
          <w:rFonts w:hint="eastAsia" w:ascii="仿宋_GB2312" w:hAnsi="宋体" w:eastAsia="仿宋_GB2312"/>
          <w:color w:val="auto"/>
          <w:sz w:val="28"/>
          <w:szCs w:val="28"/>
        </w:rPr>
        <w:t>一、议价比价函………………………………………………………3</w:t>
      </w:r>
    </w:p>
    <w:p w14:paraId="68CF81A6">
      <w:pPr>
        <w:tabs>
          <w:tab w:val="left" w:pos="8280"/>
        </w:tabs>
        <w:spacing w:line="360" w:lineRule="auto"/>
        <w:ind w:left="756" w:leftChars="360"/>
        <w:outlineLvl w:val="0"/>
        <w:rPr>
          <w:rFonts w:ascii="仿宋_GB2312" w:hAnsi="宋体" w:eastAsia="仿宋_GB2312"/>
          <w:color w:val="auto"/>
          <w:sz w:val="28"/>
          <w:szCs w:val="28"/>
        </w:rPr>
      </w:pPr>
      <w:r>
        <w:rPr>
          <w:rFonts w:hint="eastAsia" w:ascii="仿宋_GB2312" w:hAnsi="宋体" w:eastAsia="仿宋_GB2312"/>
          <w:color w:val="auto"/>
          <w:sz w:val="28"/>
          <w:szCs w:val="28"/>
        </w:rPr>
        <w:t>二、</w:t>
      </w:r>
      <w:r>
        <w:rPr>
          <w:rFonts w:hint="eastAsia" w:ascii="仿宋_GB2312" w:eastAsia="仿宋_GB2312"/>
          <w:color w:val="auto"/>
          <w:sz w:val="28"/>
          <w:szCs w:val="28"/>
          <w:lang w:val="zh-CN"/>
        </w:rPr>
        <w:t>项目需求</w:t>
      </w:r>
      <w:r>
        <w:rPr>
          <w:rFonts w:hint="eastAsia" w:ascii="仿宋_GB2312" w:hAnsi="宋体" w:eastAsia="仿宋_GB2312"/>
          <w:color w:val="auto"/>
          <w:sz w:val="28"/>
          <w:szCs w:val="28"/>
        </w:rPr>
        <w:t>…………………………………………………………4</w:t>
      </w:r>
    </w:p>
    <w:p w14:paraId="0445FF6E">
      <w:pPr>
        <w:tabs>
          <w:tab w:val="left" w:pos="8280"/>
        </w:tabs>
        <w:spacing w:line="360" w:lineRule="auto"/>
        <w:ind w:left="756" w:leftChars="360"/>
        <w:outlineLvl w:val="0"/>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三、议价比价</w:t>
      </w:r>
      <w:r>
        <w:rPr>
          <w:rFonts w:hint="eastAsia" w:ascii="仿宋_GB2312" w:hAnsi="宋体" w:eastAsia="仿宋_GB2312"/>
          <w:bCs/>
          <w:color w:val="auto"/>
          <w:sz w:val="28"/>
          <w:szCs w:val="28"/>
        </w:rPr>
        <w:t>须知</w:t>
      </w:r>
      <w:r>
        <w:rPr>
          <w:rFonts w:hint="eastAsia" w:ascii="仿宋_GB2312" w:hAnsi="宋体" w:eastAsia="仿宋_GB2312"/>
          <w:color w:val="auto"/>
          <w:sz w:val="28"/>
          <w:szCs w:val="28"/>
        </w:rPr>
        <w:t>……………………………………………………</w:t>
      </w:r>
      <w:r>
        <w:rPr>
          <w:rFonts w:hint="eastAsia" w:ascii="仿宋_GB2312" w:hAnsi="宋体" w:eastAsia="仿宋_GB2312"/>
          <w:color w:val="auto"/>
          <w:sz w:val="28"/>
          <w:szCs w:val="28"/>
          <w:lang w:val="en-US" w:eastAsia="zh-CN"/>
        </w:rPr>
        <w:t>8</w:t>
      </w:r>
    </w:p>
    <w:p w14:paraId="207B1FB3">
      <w:pPr>
        <w:tabs>
          <w:tab w:val="left" w:pos="8280"/>
        </w:tabs>
        <w:spacing w:line="360" w:lineRule="auto"/>
        <w:ind w:left="756" w:leftChars="360"/>
        <w:outlineLvl w:val="0"/>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rPr>
        <w:t>四、评分标准…………………………………………………………</w:t>
      </w:r>
      <w:r>
        <w:rPr>
          <w:rFonts w:hint="eastAsia" w:ascii="仿宋_GB2312" w:hAnsi="宋体" w:eastAsia="仿宋_GB2312"/>
          <w:color w:val="auto"/>
          <w:sz w:val="28"/>
          <w:szCs w:val="28"/>
          <w:lang w:val="en-US" w:eastAsia="zh-CN"/>
        </w:rPr>
        <w:t>12</w:t>
      </w:r>
    </w:p>
    <w:p w14:paraId="79552C1A">
      <w:pPr>
        <w:tabs>
          <w:tab w:val="left" w:pos="8280"/>
        </w:tabs>
        <w:spacing w:line="360" w:lineRule="auto"/>
        <w:ind w:left="756" w:leftChars="360"/>
        <w:outlineLvl w:val="0"/>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五、报价文件的主要内容和格式……………………………………1</w:t>
      </w:r>
      <w:r>
        <w:rPr>
          <w:rFonts w:hint="eastAsia" w:ascii="仿宋_GB2312" w:hAnsi="宋体" w:eastAsia="仿宋_GB2312"/>
          <w:color w:val="auto"/>
          <w:sz w:val="28"/>
          <w:szCs w:val="28"/>
          <w:lang w:val="en-US" w:eastAsia="zh-CN"/>
        </w:rPr>
        <w:t>5</w:t>
      </w:r>
    </w:p>
    <w:p w14:paraId="7C1FF721">
      <w:pPr>
        <w:rPr>
          <w:rFonts w:ascii="仿宋_GB2312" w:hAnsi="宋体" w:eastAsia="仿宋_GB2312"/>
          <w:b/>
          <w:color w:val="auto"/>
          <w:sz w:val="28"/>
        </w:rPr>
      </w:pPr>
      <w:r>
        <w:rPr>
          <w:rFonts w:ascii="仿宋_GB2312" w:hAnsi="宋体" w:eastAsia="仿宋_GB2312"/>
          <w:b/>
          <w:color w:val="auto"/>
          <w:sz w:val="28"/>
        </w:rPr>
        <w:br w:type="page"/>
      </w:r>
    </w:p>
    <w:p w14:paraId="5F42F70E">
      <w:pPr>
        <w:tabs>
          <w:tab w:val="left" w:pos="8280"/>
        </w:tabs>
        <w:spacing w:line="360"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rPr>
        <w:t>一、议价比价采购函</w:t>
      </w:r>
    </w:p>
    <w:p w14:paraId="44F1A86A">
      <w:pPr>
        <w:tabs>
          <w:tab w:val="left" w:pos="8280"/>
        </w:tabs>
        <w:autoSpaceDE/>
        <w:autoSpaceDN/>
        <w:adjustRightInd/>
        <w:spacing w:line="360" w:lineRule="auto"/>
        <w:ind w:firstLine="480" w:firstLineChars="200"/>
        <w:rPr>
          <w:rFonts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东莞市社会保险基金管理中心拟对</w:t>
      </w:r>
      <w:r>
        <w:rPr>
          <w:rFonts w:hint="eastAsia" w:ascii="仿宋_GB2312" w:hAnsi="仿宋_GB2312" w:eastAsia="仿宋_GB2312" w:cs="仿宋_GB2312"/>
          <w:b w:val="0"/>
          <w:bCs w:val="0"/>
          <w:color w:val="auto"/>
          <w:sz w:val="24"/>
          <w:szCs w:val="24"/>
          <w:highlight w:val="none"/>
          <w:lang w:val="zh-CN"/>
        </w:rPr>
        <w:t>2026年度东莞市工伤保险协议机构监督检查技术性辅助服务</w:t>
      </w:r>
      <w:r>
        <w:rPr>
          <w:rFonts w:hint="eastAsia" w:ascii="仿宋_GB2312" w:hAnsi="仿宋_GB2312" w:eastAsia="仿宋_GB2312" w:cs="仿宋_GB2312"/>
          <w:b w:val="0"/>
          <w:color w:val="auto"/>
          <w:sz w:val="24"/>
          <w:szCs w:val="24"/>
          <w:lang w:val="zh-CN"/>
        </w:rPr>
        <w:t>项目（</w:t>
      </w:r>
      <w:r>
        <w:rPr>
          <w:rFonts w:hint="eastAsia" w:ascii="仿宋_GB2312" w:hAnsi="仿宋_GB2312" w:eastAsia="仿宋_GB2312" w:cs="仿宋_GB2312"/>
          <w:b w:val="0"/>
          <w:color w:val="auto"/>
          <w:sz w:val="24"/>
          <w:szCs w:val="24"/>
          <w:lang w:val="en-US" w:eastAsia="zh-CN"/>
        </w:rPr>
        <w:t>二次</w:t>
      </w:r>
      <w:r>
        <w:rPr>
          <w:rFonts w:hint="eastAsia" w:ascii="仿宋_GB2312" w:hAnsi="仿宋_GB2312" w:eastAsia="仿宋_GB2312" w:cs="仿宋_GB2312"/>
          <w:b w:val="0"/>
          <w:color w:val="auto"/>
          <w:sz w:val="24"/>
          <w:szCs w:val="24"/>
          <w:lang w:val="zh-CN"/>
        </w:rPr>
        <w:t>）</w:t>
      </w:r>
      <w:r>
        <w:rPr>
          <w:rFonts w:hint="eastAsia" w:ascii="仿宋_GB2312" w:hAnsi="仿宋_GB2312" w:eastAsia="仿宋_GB2312" w:cs="仿宋_GB2312"/>
          <w:color w:val="auto"/>
          <w:sz w:val="24"/>
          <w:lang w:val="zh-CN"/>
        </w:rPr>
        <w:t>进行议价比价采购，特邀请合格供应商参加议价比价。</w:t>
      </w:r>
    </w:p>
    <w:p w14:paraId="0243160B">
      <w:pPr>
        <w:tabs>
          <w:tab w:val="left" w:pos="8280"/>
        </w:tabs>
        <w:spacing w:line="360" w:lineRule="auto"/>
        <w:ind w:left="2399" w:leftChars="228" w:hanging="1920" w:hangingChars="800"/>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zh-CN"/>
        </w:rPr>
        <w:t>采购项目名称：</w:t>
      </w:r>
      <w:r>
        <w:rPr>
          <w:rFonts w:hint="eastAsia" w:ascii="仿宋_GB2312" w:hAnsi="仿宋_GB2312" w:eastAsia="仿宋_GB2312" w:cs="仿宋_GB2312"/>
          <w:b w:val="0"/>
          <w:bCs w:val="0"/>
          <w:color w:val="auto"/>
          <w:sz w:val="24"/>
          <w:szCs w:val="24"/>
          <w:lang w:val="zh-CN"/>
        </w:rPr>
        <w:t>2026年度东莞市工伤保险协议机构监督检查技术性辅助服务</w:t>
      </w:r>
      <w:r>
        <w:rPr>
          <w:rFonts w:hint="eastAsia" w:ascii="仿宋_GB2312" w:hAnsi="仿宋_GB2312" w:eastAsia="仿宋_GB2312" w:cs="仿宋_GB2312"/>
          <w:b w:val="0"/>
          <w:color w:val="auto"/>
          <w:sz w:val="24"/>
          <w:szCs w:val="24"/>
          <w:lang w:val="zh-CN"/>
        </w:rPr>
        <w:t>项目（</w:t>
      </w:r>
      <w:r>
        <w:rPr>
          <w:rFonts w:hint="eastAsia" w:ascii="仿宋_GB2312" w:hAnsi="仿宋_GB2312" w:eastAsia="仿宋_GB2312" w:cs="仿宋_GB2312"/>
          <w:b w:val="0"/>
          <w:color w:val="auto"/>
          <w:sz w:val="24"/>
          <w:szCs w:val="24"/>
          <w:lang w:val="en-US" w:eastAsia="zh-CN"/>
        </w:rPr>
        <w:t>二次</w:t>
      </w:r>
      <w:r>
        <w:rPr>
          <w:rFonts w:hint="eastAsia" w:ascii="仿宋_GB2312" w:hAnsi="仿宋_GB2312" w:eastAsia="仿宋_GB2312" w:cs="仿宋_GB2312"/>
          <w:b w:val="0"/>
          <w:color w:val="auto"/>
          <w:sz w:val="24"/>
          <w:szCs w:val="24"/>
          <w:lang w:val="zh-CN"/>
        </w:rPr>
        <w:t>）</w:t>
      </w:r>
    </w:p>
    <w:p w14:paraId="4BFF3EBA">
      <w:pPr>
        <w:autoSpaceDE w:val="0"/>
        <w:autoSpaceDN w:val="0"/>
        <w:adjustRightInd w:val="0"/>
        <w:spacing w:line="360" w:lineRule="auto"/>
        <w:ind w:firstLine="420"/>
        <w:rPr>
          <w:rFonts w:ascii="仿宋_GB2312" w:hAnsi="仿宋_GB2312" w:eastAsia="仿宋_GB2312" w:cs="仿宋_GB2312"/>
          <w:b/>
          <w:color w:val="auto"/>
          <w:sz w:val="24"/>
        </w:rPr>
      </w:pPr>
      <w:r>
        <w:rPr>
          <w:rFonts w:hint="eastAsia" w:ascii="仿宋_GB2312" w:hAnsi="仿宋_GB2312" w:eastAsia="仿宋_GB2312" w:cs="仿宋_GB2312"/>
          <w:color w:val="auto"/>
          <w:sz w:val="24"/>
          <w:lang w:val="zh-CN"/>
        </w:rPr>
        <w:t>2</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zh-CN"/>
        </w:rPr>
        <w:t>采购人名称：东莞市社会保险基金管理中心</w:t>
      </w:r>
    </w:p>
    <w:p w14:paraId="539CE078">
      <w:pPr>
        <w:autoSpaceDE w:val="0"/>
        <w:autoSpaceDN w:val="0"/>
        <w:adjustRightInd w:val="0"/>
        <w:spacing w:line="360" w:lineRule="auto"/>
        <w:ind w:firstLine="420"/>
        <w:rPr>
          <w:rFonts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3</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zh-CN"/>
        </w:rPr>
        <w:t>采购人地址：</w:t>
      </w:r>
      <w:r>
        <w:rPr>
          <w:rFonts w:hint="eastAsia" w:ascii="仿宋_GB2312" w:hAnsi="仿宋_GB2312" w:eastAsia="仿宋_GB2312" w:cs="仿宋_GB2312"/>
          <w:color w:val="auto"/>
          <w:sz w:val="24"/>
        </w:rPr>
        <w:t>东莞市</w:t>
      </w:r>
      <w:r>
        <w:rPr>
          <w:rFonts w:hint="eastAsia" w:ascii="仿宋_GB2312" w:hAnsi="仿宋_GB2312" w:eastAsia="仿宋_GB2312" w:cs="仿宋_GB2312"/>
          <w:color w:val="auto"/>
          <w:sz w:val="24"/>
          <w:lang w:val="en-US" w:eastAsia="zh-CN"/>
        </w:rPr>
        <w:t>莞城街道</w:t>
      </w:r>
      <w:r>
        <w:rPr>
          <w:rFonts w:hint="eastAsia" w:ascii="仿宋_GB2312" w:hAnsi="仿宋_GB2312" w:eastAsia="仿宋_GB2312" w:cs="仿宋_GB2312"/>
          <w:color w:val="auto"/>
          <w:sz w:val="24"/>
        </w:rPr>
        <w:t>东城大道168号</w:t>
      </w:r>
    </w:p>
    <w:p w14:paraId="5F39A221">
      <w:pPr>
        <w:autoSpaceDE w:val="0"/>
        <w:autoSpaceDN w:val="0"/>
        <w:adjustRightInd w:val="0"/>
        <w:spacing w:line="360" w:lineRule="auto"/>
        <w:ind w:firstLine="420"/>
        <w:rPr>
          <w:rFonts w:ascii="仿宋_GB2312" w:hAnsi="仿宋_GB2312" w:eastAsia="仿宋_GB2312" w:cs="仿宋_GB2312"/>
          <w:color w:val="auto"/>
          <w:sz w:val="24"/>
        </w:rPr>
      </w:pPr>
      <w:r>
        <w:rPr>
          <w:rFonts w:hint="eastAsia" w:ascii="仿宋_GB2312" w:hAnsi="仿宋_GB2312" w:eastAsia="仿宋_GB2312" w:cs="仿宋_GB2312"/>
          <w:color w:val="auto"/>
          <w:sz w:val="24"/>
          <w:lang w:val="zh-CN"/>
        </w:rPr>
        <w:t>4</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zh-CN"/>
        </w:rPr>
        <w:t>采购人邮政编码：523129</w:t>
      </w:r>
    </w:p>
    <w:p w14:paraId="34E799DB">
      <w:pPr>
        <w:autoSpaceDE w:val="0"/>
        <w:autoSpaceDN w:val="0"/>
        <w:adjustRightInd w:val="0"/>
        <w:spacing w:line="360" w:lineRule="auto"/>
        <w:ind w:firstLine="42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zh-CN"/>
        </w:rPr>
        <w:t>5</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zh-CN"/>
        </w:rPr>
        <w:t>采购人联系电话：0769-2233</w:t>
      </w:r>
      <w:r>
        <w:rPr>
          <w:rFonts w:hint="eastAsia" w:ascii="仿宋_GB2312" w:hAnsi="仿宋_GB2312" w:eastAsia="仿宋_GB2312" w:cs="仿宋_GB2312"/>
          <w:color w:val="auto"/>
          <w:sz w:val="24"/>
          <w:lang w:val="en-US" w:eastAsia="zh-CN"/>
        </w:rPr>
        <w:t>2316</w:t>
      </w:r>
    </w:p>
    <w:p w14:paraId="146E3915">
      <w:pPr>
        <w:autoSpaceDE w:val="0"/>
        <w:autoSpaceDN w:val="0"/>
        <w:adjustRightInd w:val="0"/>
        <w:spacing w:line="360" w:lineRule="auto"/>
        <w:ind w:firstLine="420"/>
        <w:rPr>
          <w:rFonts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6</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zh-CN"/>
        </w:rPr>
        <w:t>采购人联系人：</w:t>
      </w:r>
      <w:r>
        <w:rPr>
          <w:rFonts w:hint="eastAsia" w:ascii="仿宋_GB2312" w:hAnsi="仿宋_GB2312" w:eastAsia="仿宋_GB2312" w:cs="仿宋_GB2312"/>
          <w:color w:val="auto"/>
          <w:sz w:val="24"/>
          <w:lang w:val="en-US" w:eastAsia="zh-CN"/>
        </w:rPr>
        <w:t>黄</w:t>
      </w:r>
      <w:r>
        <w:rPr>
          <w:rFonts w:hint="eastAsia" w:ascii="仿宋_GB2312" w:hAnsi="仿宋_GB2312" w:eastAsia="仿宋_GB2312" w:cs="仿宋_GB2312"/>
          <w:color w:val="auto"/>
          <w:sz w:val="24"/>
          <w:lang w:val="zh-CN"/>
        </w:rPr>
        <w:t>先生</w:t>
      </w:r>
    </w:p>
    <w:p w14:paraId="34CDC18A">
      <w:pPr>
        <w:autoSpaceDE w:val="0"/>
        <w:autoSpaceDN w:val="0"/>
        <w:adjustRightInd w:val="0"/>
        <w:spacing w:line="360" w:lineRule="auto"/>
        <w:ind w:firstLine="420"/>
        <w:rPr>
          <w:rFonts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7</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zh-CN"/>
        </w:rPr>
        <w:t>议价比价采购文件发售时间：符合资格的供应商应当在</w:t>
      </w:r>
      <w:r>
        <w:rPr>
          <w:rFonts w:hint="eastAsia" w:ascii="仿宋_GB2312" w:hAnsi="仿宋_GB2312" w:eastAsia="仿宋_GB2312" w:cs="仿宋_GB2312"/>
          <w:color w:val="auto"/>
          <w:sz w:val="24"/>
          <w:highlight w:val="none"/>
          <w:lang w:val="zh-CN"/>
        </w:rPr>
        <w:t>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lang w:val="en-US" w:eastAsia="zh-CN"/>
        </w:rPr>
        <w:t>15</w:t>
      </w:r>
      <w:r>
        <w:rPr>
          <w:rFonts w:hint="eastAsia" w:ascii="仿宋_GB2312" w:hAnsi="仿宋_GB2312" w:eastAsia="仿宋_GB2312" w:cs="仿宋_GB2312"/>
          <w:color w:val="auto"/>
          <w:sz w:val="24"/>
          <w:highlight w:val="none"/>
          <w:lang w:val="zh-CN"/>
        </w:rPr>
        <w:t>日至202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lang w:val="zh-CN"/>
        </w:rPr>
        <w:t>日</w:t>
      </w:r>
      <w:r>
        <w:rPr>
          <w:rFonts w:hint="eastAsia" w:ascii="仿宋_GB2312" w:hAnsi="仿宋_GB2312" w:eastAsia="仿宋_GB2312" w:cs="仿宋_GB2312"/>
          <w:color w:val="auto"/>
          <w:sz w:val="24"/>
          <w:lang w:val="zh-CN"/>
        </w:rPr>
        <w:t>期间（办公时间内，法定节假日除外），领取议价比价采购文件。备注：（1）供应商在领取议价比价采购文件必</w:t>
      </w:r>
      <w:r>
        <w:rPr>
          <w:rFonts w:hint="eastAsia" w:ascii="仿宋_GB2312" w:hAnsi="仿宋_GB2312" w:eastAsia="仿宋_GB2312" w:cs="仿宋_GB2312"/>
          <w:bCs/>
          <w:color w:val="auto"/>
          <w:sz w:val="24"/>
          <w:lang w:val="zh-CN"/>
        </w:rPr>
        <w:t>须提供</w:t>
      </w:r>
      <w:r>
        <w:rPr>
          <w:rFonts w:hint="eastAsia" w:ascii="仿宋_GB2312" w:hAnsi="仿宋_GB2312" w:eastAsia="仿宋_GB2312" w:cs="仿宋_GB2312"/>
          <w:color w:val="auto"/>
          <w:sz w:val="24"/>
          <w:lang w:val="zh-CN"/>
        </w:rPr>
        <w:t>营业执照或组织机构代码证加盖公章;(2)领取人身份证复印件加盖公章;（3）自行下载议价比价采购文件无效。</w:t>
      </w:r>
    </w:p>
    <w:p w14:paraId="2ABF79B4">
      <w:pPr>
        <w:autoSpaceDE w:val="0"/>
        <w:autoSpaceDN w:val="0"/>
        <w:adjustRightInd w:val="0"/>
        <w:spacing w:line="360" w:lineRule="auto"/>
        <w:ind w:firstLine="420"/>
        <w:rPr>
          <w:rFonts w:hint="eastAsia" w:ascii="仿宋_GB2312" w:hAnsi="仿宋_GB2312" w:eastAsia="仿宋_GB2312" w:cs="仿宋_GB2312"/>
          <w:color w:val="auto"/>
          <w:sz w:val="24"/>
          <w:lang w:val="zh-CN"/>
        </w:rPr>
      </w:pPr>
      <w:r>
        <w:rPr>
          <w:rFonts w:hint="eastAsia" w:ascii="仿宋_GB2312" w:hAnsi="仿宋_GB2312" w:eastAsia="仿宋_GB2312" w:cs="仿宋_GB2312"/>
          <w:bCs/>
          <w:color w:val="auto"/>
          <w:sz w:val="24"/>
          <w:lang w:val="zh-CN"/>
        </w:rPr>
        <w:t>8</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议价比价采购文件发售地点：</w:t>
      </w:r>
      <w:bookmarkStart w:id="1" w:name="OLE_LINK2"/>
      <w:r>
        <w:rPr>
          <w:rFonts w:hint="eastAsia" w:ascii="仿宋_GB2312" w:hAnsi="仿宋_GB2312" w:eastAsia="仿宋_GB2312" w:cs="仿宋_GB2312"/>
          <w:color w:val="auto"/>
          <w:sz w:val="24"/>
          <w:lang w:val="zh-CN"/>
        </w:rPr>
        <w:t>东莞市社会保险基金管理中心</w:t>
      </w:r>
      <w:bookmarkEnd w:id="1"/>
      <w:r>
        <w:rPr>
          <w:rFonts w:hint="eastAsia" w:ascii="仿宋_GB2312" w:hAnsi="仿宋_GB2312" w:eastAsia="仿宋_GB2312" w:cs="仿宋_GB2312"/>
          <w:color w:val="auto"/>
          <w:sz w:val="24"/>
          <w:lang w:val="zh-CN"/>
        </w:rPr>
        <w:t>后楼四楼信息科</w:t>
      </w:r>
    </w:p>
    <w:p w14:paraId="37CD6794">
      <w:pPr>
        <w:autoSpaceDE w:val="0"/>
        <w:autoSpaceDN w:val="0"/>
        <w:adjustRightInd w:val="0"/>
        <w:spacing w:line="360" w:lineRule="auto"/>
        <w:ind w:firstLine="420"/>
        <w:rPr>
          <w:rFonts w:ascii="仿宋_GB2312" w:hAnsi="仿宋_GB2312" w:eastAsia="仿宋_GB2312" w:cs="仿宋_GB2312"/>
          <w:bCs/>
          <w:color w:val="auto"/>
          <w:sz w:val="24"/>
          <w:lang w:val="zh-CN"/>
        </w:rPr>
      </w:pPr>
      <w:r>
        <w:rPr>
          <w:rFonts w:hint="eastAsia" w:ascii="仿宋_GB2312" w:hAnsi="仿宋_GB2312" w:eastAsia="仿宋_GB2312" w:cs="仿宋_GB2312"/>
          <w:bCs/>
          <w:color w:val="auto"/>
          <w:sz w:val="24"/>
          <w:lang w:val="zh-CN"/>
        </w:rPr>
        <w:t>9</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议价比价文件公示网址:</w:t>
      </w:r>
      <w:r>
        <w:rPr>
          <w:rFonts w:hint="eastAsia" w:ascii="仿宋_GB2312" w:eastAsia="仿宋_GB2312"/>
          <w:color w:val="auto"/>
          <w:sz w:val="24"/>
          <w:highlight w:val="none"/>
          <w:lang w:val="zh-CN"/>
        </w:rPr>
        <w:t>http://dghrss.dg.gov.cn/xwzx/gsgg/index.html</w:t>
      </w:r>
    </w:p>
    <w:p w14:paraId="4873E71F">
      <w:pPr>
        <w:autoSpaceDE w:val="0"/>
        <w:autoSpaceDN w:val="0"/>
        <w:adjustRightInd w:val="0"/>
        <w:spacing w:line="360" w:lineRule="auto"/>
        <w:ind w:firstLine="420"/>
        <w:rPr>
          <w:rFonts w:ascii="仿宋_GB2312" w:hAnsi="仿宋_GB2312" w:eastAsia="仿宋_GB2312" w:cs="仿宋_GB2312"/>
          <w:bCs/>
          <w:color w:val="auto"/>
          <w:sz w:val="24"/>
          <w:lang w:val="zh-CN"/>
        </w:rPr>
      </w:pPr>
      <w:r>
        <w:rPr>
          <w:rFonts w:hint="eastAsia" w:ascii="仿宋_GB2312" w:hAnsi="仿宋_GB2312" w:eastAsia="仿宋_GB2312" w:cs="仿宋_GB2312"/>
          <w:bCs/>
          <w:color w:val="auto"/>
          <w:sz w:val="24"/>
          <w:lang w:val="zh-CN"/>
        </w:rPr>
        <w:t>10</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议价比价采购文件售价：免费</w:t>
      </w:r>
    </w:p>
    <w:p w14:paraId="4849025D">
      <w:pPr>
        <w:autoSpaceDE w:val="0"/>
        <w:autoSpaceDN w:val="0"/>
        <w:adjustRightInd w:val="0"/>
        <w:spacing w:line="360" w:lineRule="auto"/>
        <w:ind w:firstLine="420"/>
        <w:rPr>
          <w:rFonts w:ascii="仿宋_GB2312" w:hAnsi="仿宋_GB2312" w:eastAsia="仿宋_GB2312" w:cs="仿宋_GB2312"/>
          <w:bCs/>
          <w:color w:val="auto"/>
          <w:sz w:val="24"/>
          <w:lang w:val="zh-CN"/>
        </w:rPr>
      </w:pPr>
      <w:r>
        <w:rPr>
          <w:rFonts w:hint="eastAsia" w:ascii="仿宋_GB2312" w:hAnsi="仿宋_GB2312" w:eastAsia="仿宋_GB2312" w:cs="仿宋_GB2312"/>
          <w:bCs/>
          <w:color w:val="auto"/>
          <w:sz w:val="24"/>
          <w:lang w:val="zh-CN"/>
        </w:rPr>
        <w:t>11</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采购人只接受已办理报名及登记购买议价比价的投标人投标。</w:t>
      </w:r>
    </w:p>
    <w:p w14:paraId="7A723047">
      <w:pPr>
        <w:autoSpaceDE w:val="0"/>
        <w:autoSpaceDN w:val="0"/>
        <w:adjustRightInd w:val="0"/>
        <w:spacing w:line="360" w:lineRule="auto"/>
        <w:ind w:left="900" w:leftChars="200" w:hanging="480" w:hangingChars="200"/>
        <w:rPr>
          <w:rFonts w:hint="eastAsia" w:ascii="仿宋_GB2312" w:hAnsi="仿宋_GB2312" w:eastAsia="仿宋_GB2312" w:cs="仿宋_GB2312"/>
          <w:color w:val="auto"/>
          <w:sz w:val="24"/>
          <w:lang w:val="zh-CN"/>
        </w:rPr>
      </w:pPr>
      <w:r>
        <w:rPr>
          <w:rFonts w:hint="eastAsia" w:ascii="仿宋_GB2312" w:hAnsi="仿宋_GB2312" w:eastAsia="仿宋_GB2312" w:cs="仿宋_GB2312"/>
          <w:bCs/>
          <w:color w:val="auto"/>
          <w:sz w:val="24"/>
          <w:lang w:val="zh-CN"/>
        </w:rPr>
        <w:t>12</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报价文件递交</w:t>
      </w:r>
      <w:r>
        <w:rPr>
          <w:rFonts w:hint="eastAsia" w:ascii="仿宋_GB2312" w:hAnsi="仿宋_GB2312" w:eastAsia="仿宋_GB2312" w:cs="仿宋_GB2312"/>
          <w:color w:val="auto"/>
          <w:sz w:val="24"/>
          <w:lang w:val="zh-CN"/>
        </w:rPr>
        <w:t>时间：</w:t>
      </w:r>
      <w:bookmarkStart w:id="2" w:name="OLE_LINK3"/>
      <w:r>
        <w:rPr>
          <w:rFonts w:hint="eastAsia" w:ascii="仿宋_GB2312" w:hAnsi="仿宋_GB2312" w:eastAsia="仿宋_GB2312" w:cs="仿宋_GB2312"/>
          <w:color w:val="auto"/>
          <w:sz w:val="24"/>
          <w:highlight w:val="none"/>
          <w:lang w:val="zh-CN"/>
        </w:rPr>
        <w:t>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lang w:val="en-US" w:eastAsia="zh-CN"/>
        </w:rPr>
        <w:t>29</w:t>
      </w:r>
      <w:r>
        <w:rPr>
          <w:rFonts w:hint="eastAsia" w:ascii="仿宋_GB2312" w:hAnsi="仿宋_GB2312" w:eastAsia="仿宋_GB2312" w:cs="仿宋_GB2312"/>
          <w:color w:val="auto"/>
          <w:sz w:val="24"/>
          <w:highlight w:val="none"/>
          <w:lang w:val="zh-CN"/>
        </w:rPr>
        <w:t>日</w:t>
      </w:r>
      <w:r>
        <w:rPr>
          <w:rFonts w:hint="eastAsia" w:ascii="仿宋_GB2312" w:hAnsi="仿宋_GB2312" w:eastAsia="仿宋_GB2312" w:cs="仿宋_GB2312"/>
          <w:color w:val="auto"/>
          <w:sz w:val="24"/>
          <w:highlight w:val="none"/>
          <w:lang w:val="en-US" w:eastAsia="zh-CN"/>
        </w:rPr>
        <w:t>下</w:t>
      </w:r>
      <w:r>
        <w:rPr>
          <w:rFonts w:hint="eastAsia" w:ascii="仿宋_GB2312" w:hAnsi="仿宋_GB2312" w:eastAsia="仿宋_GB2312" w:cs="仿宋_GB2312"/>
          <w:color w:val="auto"/>
          <w:sz w:val="24"/>
          <w:highlight w:val="none"/>
          <w:lang w:val="zh-CN"/>
        </w:rPr>
        <w:t>午</w:t>
      </w:r>
      <w:r>
        <w:rPr>
          <w:rFonts w:hint="eastAsia" w:ascii="仿宋_GB2312" w:hAnsi="仿宋_GB2312" w:eastAsia="仿宋_GB2312" w:cs="仿宋_GB2312"/>
          <w:color w:val="auto"/>
          <w:sz w:val="24"/>
          <w:highlight w:val="none"/>
          <w:lang w:val="en-US" w:eastAsia="zh-CN"/>
        </w:rPr>
        <w:t>14</w:t>
      </w:r>
      <w:r>
        <w:rPr>
          <w:rFonts w:hint="eastAsia" w:ascii="仿宋_GB2312" w:hAnsi="仿宋_GB2312" w:eastAsia="仿宋_GB2312" w:cs="仿宋_GB2312"/>
          <w:color w:val="auto"/>
          <w:sz w:val="24"/>
          <w:highlight w:val="none"/>
          <w:lang w:val="zh-CN"/>
        </w:rPr>
        <w:t>:00--</w:t>
      </w:r>
      <w:r>
        <w:rPr>
          <w:rFonts w:hint="eastAsia" w:ascii="仿宋_GB2312" w:hAnsi="仿宋_GB2312" w:eastAsia="仿宋_GB2312" w:cs="仿宋_GB2312"/>
          <w:color w:val="auto"/>
          <w:sz w:val="24"/>
          <w:highlight w:val="none"/>
          <w:lang w:val="en-US" w:eastAsia="zh-CN"/>
        </w:rPr>
        <w:t>14</w:t>
      </w:r>
      <w:r>
        <w:rPr>
          <w:rFonts w:hint="eastAsia" w:ascii="仿宋_GB2312" w:hAnsi="仿宋_GB2312" w:eastAsia="仿宋_GB2312" w:cs="仿宋_GB2312"/>
          <w:color w:val="auto"/>
          <w:sz w:val="24"/>
          <w:highlight w:val="none"/>
          <w:lang w:val="zh-CN"/>
        </w:rPr>
        <w:t>：30</w:t>
      </w:r>
      <w:bookmarkEnd w:id="2"/>
    </w:p>
    <w:p w14:paraId="6D73FE3F">
      <w:pPr>
        <w:autoSpaceDE w:val="0"/>
        <w:autoSpaceDN w:val="0"/>
        <w:adjustRightInd w:val="0"/>
        <w:spacing w:line="360" w:lineRule="auto"/>
        <w:ind w:firstLine="420"/>
        <w:rPr>
          <w:rFonts w:hint="eastAsia" w:ascii="仿宋_GB2312" w:hAnsi="仿宋_GB2312" w:eastAsia="仿宋_GB2312" w:cs="仿宋_GB2312"/>
          <w:color w:val="auto"/>
          <w:sz w:val="24"/>
          <w:lang w:val="zh-CN"/>
        </w:rPr>
      </w:pPr>
      <w:r>
        <w:rPr>
          <w:rFonts w:hint="eastAsia" w:ascii="仿宋_GB2312" w:hAnsi="仿宋_GB2312" w:eastAsia="仿宋_GB2312" w:cs="仿宋_GB2312"/>
          <w:bCs/>
          <w:color w:val="auto"/>
          <w:sz w:val="24"/>
          <w:lang w:val="zh-CN"/>
        </w:rPr>
        <w:t>13</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报价文件递交地点：</w:t>
      </w:r>
      <w:bookmarkStart w:id="3" w:name="OLE_LINK4"/>
      <w:bookmarkStart w:id="4" w:name="OLE_LINK1"/>
      <w:r>
        <w:rPr>
          <w:rFonts w:hint="eastAsia" w:ascii="仿宋_GB2312" w:hAnsi="仿宋_GB2312" w:eastAsia="仿宋_GB2312" w:cs="仿宋_GB2312"/>
          <w:color w:val="auto"/>
          <w:sz w:val="24"/>
          <w:lang w:val="zh-CN"/>
        </w:rPr>
        <w:t>东莞市社会保险基金管理中心前楼三楼</w:t>
      </w:r>
      <w:r>
        <w:rPr>
          <w:rFonts w:hint="eastAsia" w:ascii="仿宋_GB2312" w:hAnsi="仿宋_GB2312" w:eastAsia="仿宋_GB2312" w:cs="仿宋_GB2312"/>
          <w:color w:val="auto"/>
          <w:sz w:val="24"/>
          <w:lang w:val="en-US" w:eastAsia="zh-CN"/>
        </w:rPr>
        <w:t>1号</w:t>
      </w:r>
      <w:r>
        <w:rPr>
          <w:rFonts w:hint="eastAsia" w:ascii="仿宋_GB2312" w:hAnsi="仿宋_GB2312" w:eastAsia="仿宋_GB2312" w:cs="仿宋_GB2312"/>
          <w:color w:val="auto"/>
          <w:sz w:val="24"/>
          <w:lang w:val="zh-CN"/>
        </w:rPr>
        <w:t>会议室</w:t>
      </w:r>
      <w:bookmarkEnd w:id="3"/>
    </w:p>
    <w:bookmarkEnd w:id="4"/>
    <w:p w14:paraId="1DA17C36">
      <w:pPr>
        <w:autoSpaceDE w:val="0"/>
        <w:autoSpaceDN w:val="0"/>
        <w:adjustRightInd w:val="0"/>
        <w:spacing w:line="360" w:lineRule="auto"/>
        <w:ind w:firstLine="420"/>
        <w:rPr>
          <w:rFonts w:hint="eastAsia" w:ascii="仿宋_GB2312" w:hAnsi="仿宋_GB2312" w:eastAsia="仿宋_GB2312" w:cs="仿宋_GB2312"/>
          <w:color w:val="auto"/>
          <w:sz w:val="24"/>
          <w:highlight w:val="yellow"/>
          <w:lang w:val="zh-CN"/>
        </w:rPr>
      </w:pPr>
      <w:r>
        <w:rPr>
          <w:rFonts w:hint="eastAsia" w:ascii="仿宋_GB2312" w:hAnsi="仿宋_GB2312" w:eastAsia="仿宋_GB2312" w:cs="仿宋_GB2312"/>
          <w:bCs/>
          <w:color w:val="auto"/>
          <w:sz w:val="24"/>
          <w:lang w:val="zh-CN"/>
        </w:rPr>
        <w:t>14</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议价比价、评审时间：</w:t>
      </w:r>
      <w:r>
        <w:rPr>
          <w:rFonts w:hint="eastAsia" w:ascii="仿宋_GB2312" w:hAnsi="仿宋_GB2312" w:eastAsia="仿宋_GB2312" w:cs="仿宋_GB2312"/>
          <w:color w:val="auto"/>
          <w:sz w:val="24"/>
          <w:highlight w:val="none"/>
          <w:lang w:val="zh-CN"/>
        </w:rPr>
        <w:t>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lang w:val="en-US" w:eastAsia="zh-CN"/>
        </w:rPr>
        <w:t>29</w:t>
      </w:r>
      <w:r>
        <w:rPr>
          <w:rFonts w:hint="eastAsia" w:ascii="仿宋_GB2312" w:hAnsi="仿宋_GB2312" w:eastAsia="仿宋_GB2312" w:cs="仿宋_GB2312"/>
          <w:color w:val="auto"/>
          <w:sz w:val="24"/>
          <w:highlight w:val="none"/>
          <w:lang w:val="zh-CN"/>
        </w:rPr>
        <w:t>日</w:t>
      </w:r>
      <w:r>
        <w:rPr>
          <w:rFonts w:hint="eastAsia" w:ascii="仿宋_GB2312" w:hAnsi="仿宋_GB2312" w:eastAsia="仿宋_GB2312" w:cs="仿宋_GB2312"/>
          <w:color w:val="auto"/>
          <w:sz w:val="24"/>
          <w:highlight w:val="none"/>
          <w:lang w:val="en-US" w:eastAsia="zh-CN"/>
        </w:rPr>
        <w:t>下</w:t>
      </w:r>
      <w:r>
        <w:rPr>
          <w:rFonts w:hint="eastAsia" w:ascii="仿宋_GB2312" w:hAnsi="仿宋_GB2312" w:eastAsia="仿宋_GB2312" w:cs="仿宋_GB2312"/>
          <w:color w:val="auto"/>
          <w:sz w:val="24"/>
          <w:highlight w:val="none"/>
          <w:lang w:val="zh-CN"/>
        </w:rPr>
        <w:t>午</w:t>
      </w:r>
      <w:r>
        <w:rPr>
          <w:rFonts w:hint="eastAsia" w:ascii="仿宋_GB2312" w:hAnsi="仿宋_GB2312" w:eastAsia="仿宋_GB2312" w:cs="仿宋_GB2312"/>
          <w:color w:val="auto"/>
          <w:sz w:val="24"/>
          <w:highlight w:val="none"/>
          <w:lang w:val="en-US" w:eastAsia="zh-CN"/>
        </w:rPr>
        <w:t>14</w:t>
      </w:r>
      <w:r>
        <w:rPr>
          <w:rFonts w:hint="eastAsia" w:ascii="仿宋_GB2312" w:hAnsi="仿宋_GB2312" w:eastAsia="仿宋_GB2312" w:cs="仿宋_GB2312"/>
          <w:color w:val="auto"/>
          <w:sz w:val="24"/>
          <w:highlight w:val="none"/>
          <w:lang w:val="zh-CN"/>
        </w:rPr>
        <w:t>：30</w:t>
      </w:r>
    </w:p>
    <w:p w14:paraId="0545F4A1">
      <w:pPr>
        <w:autoSpaceDE w:val="0"/>
        <w:autoSpaceDN w:val="0"/>
        <w:adjustRightInd w:val="0"/>
        <w:spacing w:line="360" w:lineRule="auto"/>
        <w:ind w:firstLine="420"/>
        <w:rPr>
          <w:rFonts w:ascii="仿宋_GB2312" w:eastAsia="仿宋_GB2312"/>
          <w:bCs/>
          <w:color w:val="auto"/>
          <w:sz w:val="24"/>
          <w:lang w:val="zh-CN"/>
        </w:rPr>
        <w:sectPr>
          <w:pgSz w:w="11907" w:h="16840"/>
          <w:pgMar w:top="1247" w:right="1134" w:bottom="1247" w:left="1134" w:header="964" w:footer="851" w:gutter="0"/>
          <w:cols w:space="425" w:num="1"/>
          <w:docGrid w:linePitch="312" w:charSpace="0"/>
        </w:sectPr>
      </w:pPr>
      <w:r>
        <w:rPr>
          <w:rFonts w:hint="eastAsia" w:ascii="仿宋_GB2312" w:hAnsi="仿宋_GB2312" w:eastAsia="仿宋_GB2312" w:cs="仿宋_GB2312"/>
          <w:bCs/>
          <w:color w:val="auto"/>
          <w:sz w:val="24"/>
          <w:lang w:val="zh-CN"/>
        </w:rPr>
        <w:t>15</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zh-CN"/>
        </w:rPr>
        <w:t>议价比价、评审地点：</w:t>
      </w:r>
      <w:r>
        <w:rPr>
          <w:rFonts w:hint="eastAsia" w:ascii="仿宋_GB2312" w:hAnsi="仿宋_GB2312" w:eastAsia="仿宋_GB2312" w:cs="仿宋_GB2312"/>
          <w:color w:val="auto"/>
          <w:sz w:val="24"/>
          <w:lang w:val="zh-CN"/>
        </w:rPr>
        <w:t>东莞市社会保险基金管理中心前楼三楼</w:t>
      </w:r>
      <w:r>
        <w:rPr>
          <w:rFonts w:hint="eastAsia" w:ascii="仿宋_GB2312" w:hAnsi="仿宋_GB2312" w:eastAsia="仿宋_GB2312" w:cs="仿宋_GB2312"/>
          <w:color w:val="auto"/>
          <w:sz w:val="24"/>
          <w:lang w:val="en-US" w:eastAsia="zh-CN"/>
        </w:rPr>
        <w:t>1号</w:t>
      </w:r>
      <w:r>
        <w:rPr>
          <w:rFonts w:hint="eastAsia" w:ascii="仿宋_GB2312" w:hAnsi="仿宋_GB2312" w:eastAsia="仿宋_GB2312" w:cs="仿宋_GB2312"/>
          <w:color w:val="auto"/>
          <w:sz w:val="24"/>
          <w:lang w:val="zh-CN"/>
        </w:rPr>
        <w:t>会议室</w:t>
      </w:r>
    </w:p>
    <w:p w14:paraId="2A534725">
      <w:pPr>
        <w:tabs>
          <w:tab w:val="left" w:pos="8280"/>
        </w:tabs>
        <w:spacing w:line="360" w:lineRule="exact"/>
        <w:jc w:val="center"/>
        <w:rPr>
          <w:rFonts w:ascii="仿宋_GB2312" w:hAnsi="宋体" w:eastAsia="仿宋_GB2312"/>
          <w:b/>
          <w:color w:val="auto"/>
          <w:sz w:val="32"/>
          <w:szCs w:val="32"/>
        </w:rPr>
      </w:pPr>
      <w:r>
        <w:rPr>
          <w:rFonts w:hint="eastAsia" w:ascii="仿宋_GB2312" w:hAnsi="宋体" w:eastAsia="仿宋_GB2312"/>
          <w:b/>
          <w:color w:val="auto"/>
          <w:sz w:val="32"/>
          <w:szCs w:val="32"/>
        </w:rPr>
        <w:t>二、项目需求</w:t>
      </w:r>
    </w:p>
    <w:p w14:paraId="2807627E">
      <w:pPr>
        <w:pStyle w:val="2"/>
        <w:spacing w:before="0" w:after="0" w:line="606" w:lineRule="exact"/>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一、实施背景</w:t>
      </w:r>
    </w:p>
    <w:p w14:paraId="32CD4831">
      <w:pPr>
        <w:pStyle w:val="2"/>
        <w:spacing w:before="0" w:after="0" w:line="606" w:lineRule="exact"/>
        <w:ind w:firstLine="480" w:firstLineChars="200"/>
        <w:jc w:val="left"/>
        <w:rPr>
          <w:rFonts w:hint="eastAsia" w:ascii="仿宋_GB2312" w:hAnsi="仿宋_GB2312" w:eastAsia="仿宋_GB2312" w:cs="仿宋_GB2312"/>
          <w:color w:val="auto"/>
          <w:kern w:val="2"/>
          <w:sz w:val="24"/>
          <w:szCs w:val="24"/>
          <w:lang w:val="zh-CN" w:eastAsia="zh-CN" w:bidi="ar-SA"/>
        </w:rPr>
      </w:pPr>
      <w:r>
        <w:rPr>
          <w:rFonts w:hint="eastAsia" w:ascii="仿宋_GB2312" w:hAnsi="仿宋_GB2312" w:eastAsia="仿宋_GB2312" w:cs="仿宋_GB2312"/>
          <w:color w:val="auto"/>
          <w:kern w:val="2"/>
          <w:sz w:val="24"/>
          <w:szCs w:val="24"/>
          <w:lang w:val="zh-CN" w:eastAsia="zh-CN" w:bidi="ar-SA"/>
        </w:rPr>
        <w:t>根据《广东省工伤保险医疗服务协议机构管理办法》（粤人社规〔2026〕17号）和《广东省工伤保险服务协议机构监督检查工作指引》（粤社保函〔2023〕13号）的有关规定：根据检查工作需要，经办机构可按规定委托有资质的专业机构提供工伤保险协议机构监督检查的技术性等辅助服务，聘请专家和委托专业机构所需经费由负责组织的经办机构按相关规定及标准支付。为加强对工伤保险协议机构工伤医疗和康复费用的监控，保障工伤保险基金安全和有效使用，我中心拟采购一家有资质的专业机构提供技术性等辅助服务，全面筛查我市工伤门诊和住院费用，通过智能审核手段对疑点数据进行精准核查。</w:t>
      </w:r>
    </w:p>
    <w:p w14:paraId="06734ECA">
      <w:pPr>
        <w:pStyle w:val="2"/>
        <w:spacing w:before="0" w:after="0" w:line="606" w:lineRule="exact"/>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二、项目概述</w:t>
      </w:r>
    </w:p>
    <w:p w14:paraId="44B01970">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（一）项目内容</w:t>
      </w:r>
    </w:p>
    <w:p w14:paraId="20FD721C">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工伤保险协议机构监督管理辅助服务包含不限于：</w:t>
      </w:r>
    </w:p>
    <w:p w14:paraId="65C5A1AB">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1、组建专业团队</w:t>
      </w:r>
      <w:r>
        <w:rPr>
          <w:rFonts w:hint="eastAsia" w:ascii="仿宋_GB2312" w:hAnsi="仿宋_GB2312" w:eastAsia="仿宋_GB2312" w:cs="仿宋_GB2312"/>
          <w:bCs/>
          <w:color w:val="auto"/>
          <w:kern w:val="2"/>
          <w:sz w:val="24"/>
          <w:szCs w:val="24"/>
          <w:lang w:val="en-US" w:eastAsia="zh-CN" w:bidi="ar-SA"/>
        </w:rPr>
        <w:t>协助采购</w:t>
      </w:r>
      <w:r>
        <w:rPr>
          <w:rFonts w:hint="eastAsia" w:ascii="仿宋_GB2312" w:hAnsi="仿宋_GB2312" w:eastAsia="仿宋_GB2312" w:cs="仿宋_GB2312"/>
          <w:bCs/>
          <w:color w:val="auto"/>
          <w:kern w:val="2"/>
          <w:sz w:val="24"/>
          <w:szCs w:val="24"/>
          <w:lang w:val="zh-CN" w:eastAsia="zh-CN" w:bidi="ar-SA"/>
        </w:rPr>
        <w:t>人</w:t>
      </w:r>
      <w:r>
        <w:rPr>
          <w:rFonts w:hint="eastAsia" w:ascii="仿宋_GB2312" w:hAnsi="仿宋_GB2312" w:eastAsia="仿宋_GB2312" w:cs="仿宋_GB2312"/>
          <w:bCs/>
          <w:color w:val="auto"/>
          <w:kern w:val="2"/>
          <w:sz w:val="24"/>
          <w:szCs w:val="24"/>
          <w:lang w:val="en-US" w:eastAsia="zh-CN" w:bidi="ar-SA"/>
        </w:rPr>
        <w:t>对</w:t>
      </w:r>
      <w:r>
        <w:rPr>
          <w:rFonts w:hint="eastAsia" w:ascii="仿宋_GB2312" w:hAnsi="仿宋_GB2312" w:eastAsia="仿宋_GB2312" w:cs="仿宋_GB2312"/>
          <w:bCs/>
          <w:color w:val="auto"/>
          <w:kern w:val="2"/>
          <w:sz w:val="24"/>
          <w:szCs w:val="24"/>
          <w:lang w:val="zh-CN" w:eastAsia="zh-CN" w:bidi="ar-SA"/>
        </w:rPr>
        <w:t>指定</w:t>
      </w:r>
      <w:r>
        <w:rPr>
          <w:rFonts w:hint="eastAsia" w:ascii="仿宋_GB2312" w:hAnsi="仿宋_GB2312" w:eastAsia="仿宋_GB2312" w:cs="仿宋_GB2312"/>
          <w:bCs/>
          <w:color w:val="auto"/>
          <w:kern w:val="2"/>
          <w:sz w:val="24"/>
          <w:szCs w:val="24"/>
          <w:lang w:val="en-US" w:eastAsia="zh-CN" w:bidi="ar-SA"/>
        </w:rPr>
        <w:t>4-5家</w:t>
      </w:r>
      <w:r>
        <w:rPr>
          <w:rFonts w:hint="eastAsia" w:ascii="仿宋_GB2312" w:hAnsi="仿宋_GB2312" w:eastAsia="仿宋_GB2312" w:cs="仿宋_GB2312"/>
          <w:bCs/>
          <w:color w:val="auto"/>
          <w:kern w:val="2"/>
          <w:sz w:val="24"/>
          <w:szCs w:val="24"/>
          <w:lang w:val="zh-CN" w:eastAsia="zh-CN" w:bidi="ar-SA"/>
        </w:rPr>
        <w:t>的工伤保险服务协议机构（以下简称协议机构）</w:t>
      </w:r>
      <w:r>
        <w:rPr>
          <w:rFonts w:hint="eastAsia" w:ascii="仿宋_GB2312" w:hAnsi="仿宋_GB2312" w:eastAsia="仿宋_GB2312" w:cs="仿宋_GB2312"/>
          <w:bCs/>
          <w:color w:val="auto"/>
          <w:kern w:val="2"/>
          <w:sz w:val="24"/>
          <w:szCs w:val="24"/>
          <w:lang w:val="en-US" w:eastAsia="zh-CN" w:bidi="ar-SA"/>
        </w:rPr>
        <w:t>的</w:t>
      </w:r>
      <w:r>
        <w:rPr>
          <w:rFonts w:hint="eastAsia" w:ascii="仿宋_GB2312" w:hAnsi="仿宋_GB2312" w:eastAsia="仿宋_GB2312" w:cs="仿宋_GB2312"/>
          <w:bCs/>
          <w:color w:val="auto"/>
          <w:kern w:val="2"/>
          <w:sz w:val="24"/>
          <w:szCs w:val="24"/>
          <w:lang w:val="zh-CN" w:eastAsia="zh-CN" w:bidi="ar-SA"/>
        </w:rPr>
        <w:t>业务系统数据、病历等资料进行</w:t>
      </w:r>
      <w:r>
        <w:rPr>
          <w:rFonts w:hint="eastAsia" w:ascii="仿宋_GB2312" w:hAnsi="仿宋_GB2312" w:eastAsia="仿宋_GB2312" w:cs="仿宋_GB2312"/>
          <w:bCs/>
          <w:color w:val="auto"/>
          <w:kern w:val="2"/>
          <w:sz w:val="24"/>
          <w:szCs w:val="24"/>
          <w:lang w:val="en-US" w:eastAsia="zh-CN" w:bidi="ar-SA"/>
        </w:rPr>
        <w:t>实地检查</w:t>
      </w:r>
      <w:r>
        <w:rPr>
          <w:rFonts w:hint="eastAsia" w:ascii="仿宋_GB2312" w:hAnsi="仿宋_GB2312" w:eastAsia="仿宋_GB2312" w:cs="仿宋_GB2312"/>
          <w:bCs/>
          <w:color w:val="auto"/>
          <w:kern w:val="2"/>
          <w:sz w:val="24"/>
          <w:szCs w:val="24"/>
          <w:lang w:val="zh-CN" w:eastAsia="zh-CN" w:bidi="ar-SA"/>
        </w:rPr>
        <w:t>，并根据法规政策，从住院时长、次均费用、伤病分离、诊疗康复服务项目的种类和频次及依存关系、药品使用、辅助器具配置最高支付限额和最长使用年限等情况进行数据筛查、分析、汇总形成现场检查部分《智审审核疑点数据明细表》，并从中提取我市工伤保险医疗服务审核规则、筛选指标。</w:t>
      </w:r>
    </w:p>
    <w:p w14:paraId="4DD54B29">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 xml:space="preserve">2、根据采购人提供的审核规则，对东莞市所有工伤保险协议机构（含医疗机构、康复机构、辅助器具配置机构）2025/11-2026/10期间联网结算的门诊和住院数据采用全量数据智能审核，自动化筛查，标记疑点、异常数据；形成标准化的《智能审核疑点数据明细表》，明确问题类型、违规依据、数据明细，筛出疑点数据准确率≥90%。自采购人完成数据交付、中标人获取完整数据当日起算，全量数据审核完成时限不超过10个工作日。    </w:t>
      </w:r>
    </w:p>
    <w:p w14:paraId="4F1B4249">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3、协助采购人对协议机构疑点数据反馈意见进行核实、中标机构内部组织专家论证会不少于2次，形成《审核规则优化建议报告》，协助完善我市智能审核规则。如有需要根据完善规则再次筛查。</w:t>
      </w:r>
    </w:p>
    <w:p w14:paraId="5E245F85">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（二）</w:t>
      </w:r>
      <w:r>
        <w:rPr>
          <w:rFonts w:hint="eastAsia" w:ascii="仿宋_GB2312" w:hAnsi="仿宋_GB2312" w:eastAsia="仿宋_GB2312" w:cs="仿宋_GB2312"/>
          <w:bCs/>
          <w:color w:val="auto"/>
          <w:kern w:val="2"/>
          <w:sz w:val="24"/>
          <w:szCs w:val="24"/>
          <w:lang w:val="en-US" w:eastAsia="zh-CN" w:bidi="ar-SA"/>
        </w:rPr>
        <w:t>项目</w:t>
      </w:r>
      <w:r>
        <w:rPr>
          <w:rFonts w:hint="eastAsia" w:ascii="仿宋_GB2312" w:hAnsi="仿宋_GB2312" w:eastAsia="仿宋_GB2312" w:cs="仿宋_GB2312"/>
          <w:bCs/>
          <w:color w:val="auto"/>
          <w:kern w:val="2"/>
          <w:sz w:val="24"/>
          <w:szCs w:val="24"/>
          <w:lang w:val="zh-CN" w:eastAsia="zh-CN" w:bidi="ar-SA"/>
        </w:rPr>
        <w:t>预算：</w:t>
      </w:r>
      <w:r>
        <w:rPr>
          <w:rFonts w:hint="eastAsia" w:ascii="仿宋_GB2312" w:hAnsi="仿宋_GB2312" w:eastAsia="仿宋_GB2312" w:cs="仿宋_GB2312"/>
          <w:bCs/>
          <w:color w:val="auto"/>
          <w:kern w:val="2"/>
          <w:sz w:val="24"/>
          <w:szCs w:val="24"/>
          <w:lang w:val="en-US" w:eastAsia="zh-CN" w:bidi="ar-SA"/>
        </w:rPr>
        <w:t>人民币</w:t>
      </w:r>
      <w:r>
        <w:rPr>
          <w:rFonts w:hint="eastAsia" w:ascii="仿宋_GB2312" w:hAnsi="仿宋_GB2312" w:eastAsia="仿宋_GB2312" w:cs="仿宋_GB2312"/>
          <w:bCs/>
          <w:color w:val="auto"/>
          <w:kern w:val="2"/>
          <w:sz w:val="24"/>
          <w:szCs w:val="24"/>
          <w:lang w:val="zh-CN" w:eastAsia="zh-CN" w:bidi="ar-SA"/>
        </w:rPr>
        <w:t>9万元</w:t>
      </w:r>
      <w:r>
        <w:rPr>
          <w:rFonts w:hint="eastAsia" w:ascii="仿宋_GB2312" w:hAnsi="仿宋_GB2312" w:eastAsia="仿宋_GB2312" w:cs="仿宋_GB2312"/>
          <w:bCs/>
          <w:color w:val="auto"/>
          <w:kern w:val="2"/>
          <w:sz w:val="24"/>
          <w:szCs w:val="24"/>
          <w:lang w:val="en-US" w:eastAsia="zh-CN" w:bidi="ar-SA"/>
        </w:rPr>
        <w:t>整</w:t>
      </w:r>
      <w:r>
        <w:rPr>
          <w:rFonts w:hint="eastAsia" w:ascii="仿宋_GB2312" w:hAnsi="仿宋_GB2312" w:eastAsia="仿宋_GB2312" w:cs="仿宋_GB2312"/>
          <w:bCs/>
          <w:color w:val="auto"/>
          <w:kern w:val="2"/>
          <w:sz w:val="24"/>
          <w:szCs w:val="24"/>
          <w:lang w:val="zh-CN" w:eastAsia="zh-CN" w:bidi="ar-SA"/>
        </w:rPr>
        <w:t>。投标人报价超出预算视为非实质性响应投标而予以拒绝。</w:t>
      </w:r>
    </w:p>
    <w:p w14:paraId="212D42AD">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（三）项目属性：服务类。</w:t>
      </w:r>
    </w:p>
    <w:p w14:paraId="7A26973C">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（四）服务期：自合同签订之日起至202</w:t>
      </w:r>
      <w:r>
        <w:rPr>
          <w:rFonts w:hint="eastAsia" w:ascii="仿宋_GB2312" w:hAnsi="仿宋_GB2312" w:eastAsia="仿宋_GB2312" w:cs="仿宋_GB2312"/>
          <w:bCs/>
          <w:color w:val="auto"/>
          <w:kern w:val="2"/>
          <w:sz w:val="24"/>
          <w:szCs w:val="24"/>
          <w:lang w:val="en-US" w:eastAsia="zh-CN" w:bidi="ar-SA"/>
        </w:rPr>
        <w:t>6</w:t>
      </w:r>
      <w:r>
        <w:rPr>
          <w:rFonts w:hint="eastAsia" w:ascii="仿宋_GB2312" w:hAnsi="仿宋_GB2312" w:eastAsia="仿宋_GB2312" w:cs="仿宋_GB2312"/>
          <w:bCs/>
          <w:color w:val="auto"/>
          <w:kern w:val="2"/>
          <w:sz w:val="24"/>
          <w:szCs w:val="24"/>
          <w:lang w:val="zh-CN" w:eastAsia="zh-CN" w:bidi="ar-SA"/>
        </w:rPr>
        <w:t>年</w:t>
      </w:r>
      <w:r>
        <w:rPr>
          <w:rFonts w:hint="eastAsia" w:ascii="仿宋_GB2312" w:hAnsi="仿宋_GB2312" w:eastAsia="仿宋_GB2312" w:cs="仿宋_GB2312"/>
          <w:bCs/>
          <w:color w:val="auto"/>
          <w:kern w:val="2"/>
          <w:sz w:val="24"/>
          <w:szCs w:val="24"/>
          <w:lang w:val="en-US" w:eastAsia="zh-CN" w:bidi="ar-SA"/>
        </w:rPr>
        <w:t>11</w:t>
      </w:r>
      <w:r>
        <w:rPr>
          <w:rFonts w:hint="eastAsia" w:ascii="仿宋_GB2312" w:hAnsi="仿宋_GB2312" w:eastAsia="仿宋_GB2312" w:cs="仿宋_GB2312"/>
          <w:bCs/>
          <w:color w:val="auto"/>
          <w:kern w:val="2"/>
          <w:sz w:val="24"/>
          <w:szCs w:val="24"/>
          <w:lang w:val="zh-CN" w:eastAsia="zh-CN" w:bidi="ar-SA"/>
        </w:rPr>
        <w:t>月。</w:t>
      </w:r>
    </w:p>
    <w:p w14:paraId="4691D619">
      <w:pPr>
        <w:pStyle w:val="2"/>
        <w:spacing w:before="0" w:after="0" w:line="606" w:lineRule="exact"/>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en-US" w:eastAsia="zh-CN" w:bidi="ar-SA"/>
        </w:rPr>
        <w:t>三</w:t>
      </w:r>
      <w:r>
        <w:rPr>
          <w:rFonts w:hint="eastAsia" w:ascii="仿宋_GB2312" w:hAnsi="仿宋_GB2312" w:eastAsia="仿宋_GB2312" w:cs="仿宋_GB2312"/>
          <w:bCs/>
          <w:color w:val="auto"/>
          <w:kern w:val="2"/>
          <w:sz w:val="24"/>
          <w:szCs w:val="24"/>
          <w:lang w:val="zh-CN" w:eastAsia="zh-CN" w:bidi="ar-SA"/>
        </w:rPr>
        <w:t>、 保密和数据安全要求</w:t>
      </w:r>
    </w:p>
    <w:p w14:paraId="58EF02CD">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中标人需严格遵循《中华人民共和国数据安全法》《中华人民共和国个人信息保护法》《社会保险数据安全管理办法》及采购人信息安全管理体系要求，对辅助审核服务涉及的工伤保险基金数据、诊疗数据、个人信息、协议机构基础数据等所有敏感数据履行安全保障义务，防止数据损坏、丢失、泄露、篡改、盗用。若因中标人自身技术或管理疏漏造成数据安全事件，并相应责任的法律后果。</w:t>
      </w:r>
    </w:p>
    <w:p w14:paraId="1D5FB9C1">
      <w:pPr>
        <w:pStyle w:val="2"/>
        <w:spacing w:before="0" w:after="0" w:line="606" w:lineRule="exact"/>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en-US" w:eastAsia="zh-CN" w:bidi="ar-SA"/>
        </w:rPr>
        <w:t>四</w:t>
      </w:r>
      <w:r>
        <w:rPr>
          <w:rFonts w:hint="eastAsia" w:ascii="仿宋_GB2312" w:hAnsi="仿宋_GB2312" w:eastAsia="仿宋_GB2312" w:cs="仿宋_GB2312"/>
          <w:bCs/>
          <w:color w:val="auto"/>
          <w:kern w:val="2"/>
          <w:sz w:val="24"/>
          <w:szCs w:val="24"/>
          <w:lang w:val="zh-CN" w:eastAsia="zh-CN" w:bidi="ar-SA"/>
        </w:rPr>
        <w:t>、商务要求</w:t>
      </w:r>
    </w:p>
    <w:p w14:paraId="30168529">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（一）投标人承办要求</w:t>
      </w:r>
    </w:p>
    <w:p w14:paraId="380F1937">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投标人必须书面承诺：与我市HIS系统开发商、医疗机构、等均无从属关系及利益关联，业务操作独立，责任自负。</w:t>
      </w:r>
      <w:r>
        <w:rPr>
          <w:rFonts w:hint="eastAsia" w:ascii="仿宋_GB2312" w:hAnsi="仿宋_GB2312" w:eastAsia="仿宋_GB2312" w:cs="仿宋_GB2312"/>
          <w:b/>
          <w:bCs/>
          <w:color w:val="auto"/>
          <w:sz w:val="24"/>
          <w:lang w:val="zh-CN"/>
        </w:rPr>
        <w:t>（</w:t>
      </w:r>
      <w:r>
        <w:rPr>
          <w:rFonts w:hint="eastAsia" w:ascii="仿宋_GB2312" w:hAnsi="仿宋_GB2312" w:eastAsia="仿宋_GB2312" w:cs="仿宋_GB2312"/>
          <w:b/>
          <w:bCs/>
          <w:color w:val="auto"/>
          <w:sz w:val="24"/>
          <w:lang w:val="en-US" w:eastAsia="zh-CN"/>
        </w:rPr>
        <w:t>提供</w:t>
      </w:r>
      <w:r>
        <w:rPr>
          <w:rFonts w:hint="eastAsia" w:ascii="仿宋_GB2312" w:hAnsi="仿宋_GB2312" w:eastAsia="仿宋_GB2312" w:cs="仿宋_GB2312"/>
          <w:b/>
          <w:bCs/>
          <w:color w:val="auto"/>
          <w:sz w:val="24"/>
          <w:lang w:val="zh-CN"/>
        </w:rPr>
        <w:t>承诺</w:t>
      </w:r>
      <w:r>
        <w:rPr>
          <w:rFonts w:hint="eastAsia" w:ascii="仿宋_GB2312" w:hAnsi="仿宋_GB2312" w:eastAsia="仿宋_GB2312" w:cs="仿宋_GB2312"/>
          <w:b/>
          <w:bCs/>
          <w:color w:val="auto"/>
          <w:sz w:val="24"/>
          <w:lang w:val="en-US" w:eastAsia="zh-CN"/>
        </w:rPr>
        <w:t>函，格式自拟。</w:t>
      </w:r>
      <w:r>
        <w:rPr>
          <w:rFonts w:hint="eastAsia" w:ascii="仿宋_GB2312" w:hAnsi="仿宋_GB2312" w:eastAsia="仿宋_GB2312" w:cs="仿宋_GB2312"/>
          <w:b/>
          <w:bCs/>
          <w:color w:val="auto"/>
          <w:sz w:val="24"/>
          <w:lang w:val="zh-CN"/>
        </w:rPr>
        <w:t>）</w:t>
      </w:r>
    </w:p>
    <w:p w14:paraId="64AE6A12">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投标人应按约定时间提取工伤保险协议机构业务数据进行梳理分析、审核，利用智能审核系统生成审核结果，以书面形式向采购人报送，确保报送内容的及时性、准确性、完整性。</w:t>
      </w:r>
    </w:p>
    <w:p w14:paraId="63C35672">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投标人需组建固定的专业服务团队，团队成员包含临床医学、药学、物价、计算机、工伤保险政策研究等专业技术人员，且人员配置满足本项目评标标准及实际审核工作需求，保证审核结果的准确性、公平性和科学性。</w:t>
      </w:r>
    </w:p>
    <w:p w14:paraId="6754CE79">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（二）服务要求</w:t>
      </w:r>
    </w:p>
    <w:p w14:paraId="2E44C797">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中标人工作组坚持审核准确、高效的原则，在审核各环节与社保经办机构做好前置沟通工作。及时报送审核结果。</w:t>
      </w:r>
    </w:p>
    <w:p w14:paraId="469845D8">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中标人工作组需主动跟踪省、市工伤保险政策调整动态，及时完善审核规则内涵，保障审核结果的政策符合性。</w:t>
      </w:r>
    </w:p>
    <w:p w14:paraId="45B733C4">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中标人需对本项目涉及的网络、计算机设备、审核系统及相关文档采取严格的保密措施；未经采购人书面同意，不得向任何第三方泄露项目相关文档，不得将项目实施过程中获取的信息用于采购人指定范围外的任何活动；所有参与项目的工作人员均需签订社保信息安全保密协议书，且保密义务在项目服务期结束后持续有效。</w:t>
      </w:r>
    </w:p>
    <w:p w14:paraId="228465C0">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中标人工作组需严格按照现有数据标准开展工作，遵守采购人计算机及网络安全管理制度，互联网使用需履行书面申请手续，审核系统及办公设备必须实现内外网物理隔离，杜绝网络安全风险。</w:t>
      </w:r>
    </w:p>
    <w:p w14:paraId="6B790E95">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（三）人员要求</w:t>
      </w:r>
    </w:p>
    <w:p w14:paraId="5AB226AD">
      <w:pPr>
        <w:pStyle w:val="2"/>
        <w:spacing w:line="606" w:lineRule="exact"/>
        <w:ind w:firstLine="48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投标人</w:t>
      </w:r>
      <w:r>
        <w:rPr>
          <w:rFonts w:hint="eastAsia" w:ascii="仿宋_GB2312" w:hAnsi="仿宋_GB2312" w:eastAsia="仿宋_GB2312" w:cs="仿宋_GB2312"/>
          <w:bCs/>
          <w:color w:val="auto"/>
          <w:kern w:val="2"/>
          <w:sz w:val="24"/>
          <w:szCs w:val="24"/>
          <w:lang w:val="zh-CN" w:eastAsia="zh-CN"/>
        </w:rPr>
        <w:t>提供针对本项目的技术服务团队，至少包含1名项目负责人，2名计算机技术和大数据分析技术人员，2名医学、药学专业人员。</w:t>
      </w:r>
    </w:p>
    <w:p w14:paraId="28D5A3B7">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委托服务的人员应当具备以下条件：</w:t>
      </w:r>
    </w:p>
    <w:p w14:paraId="53EE67B8">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1.政治素质高、遵纪守法、身体健康，具有良好的学习、工作和沟通能力。</w:t>
      </w:r>
    </w:p>
    <w:p w14:paraId="4B455BC9">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2.具有医学、药学、物价、计算机或统计学等专业知识，工伤保险或医疗保险费用审核工作经验人员优先。</w:t>
      </w:r>
    </w:p>
    <w:p w14:paraId="4A060D7C">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3.没有受过刑事处罚，非失信人员。</w:t>
      </w:r>
    </w:p>
    <w:p w14:paraId="16783F99">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（四）验收要求</w:t>
      </w:r>
    </w:p>
    <w:p w14:paraId="21CD6E4F">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验收工作由采购人与中标人共同组织，严格按照合同进行全面验收。如筛查数据不合格，中标公司需按照要求重新筛查。</w:t>
      </w:r>
    </w:p>
    <w:p w14:paraId="57A483A4">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（五）付款方式</w:t>
      </w:r>
    </w:p>
    <w:p w14:paraId="69B4BD09">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协议签订后，采购人向中标人支付中标总价的</w:t>
      </w:r>
      <w:r>
        <w:rPr>
          <w:rFonts w:hint="eastAsia" w:ascii="仿宋_GB2312" w:hAnsi="仿宋_GB2312" w:eastAsia="仿宋_GB2312" w:cs="仿宋_GB2312"/>
          <w:bCs/>
          <w:color w:val="auto"/>
          <w:kern w:val="2"/>
          <w:sz w:val="24"/>
          <w:szCs w:val="24"/>
          <w:lang w:val="en-US" w:eastAsia="zh-CN" w:bidi="ar-SA"/>
        </w:rPr>
        <w:t>50</w:t>
      </w:r>
      <w:r>
        <w:rPr>
          <w:rFonts w:hint="eastAsia" w:ascii="仿宋_GB2312" w:hAnsi="仿宋_GB2312" w:eastAsia="仿宋_GB2312" w:cs="仿宋_GB2312"/>
          <w:bCs/>
          <w:color w:val="auto"/>
          <w:kern w:val="2"/>
          <w:sz w:val="24"/>
          <w:szCs w:val="24"/>
          <w:lang w:val="zh-CN" w:eastAsia="zh-CN" w:bidi="ar-SA"/>
        </w:rPr>
        <w:t>%；中标人完成检查提交书面报告并通过项目验收后十五个工作日内，采购人向中标人支付中标总价的</w:t>
      </w:r>
      <w:r>
        <w:rPr>
          <w:rFonts w:hint="eastAsia" w:ascii="仿宋_GB2312" w:hAnsi="仿宋_GB2312" w:eastAsia="仿宋_GB2312" w:cs="仿宋_GB2312"/>
          <w:bCs/>
          <w:color w:val="auto"/>
          <w:kern w:val="2"/>
          <w:sz w:val="24"/>
          <w:szCs w:val="24"/>
          <w:lang w:val="en-US" w:eastAsia="zh-CN" w:bidi="ar-SA"/>
        </w:rPr>
        <w:t>50</w:t>
      </w:r>
      <w:r>
        <w:rPr>
          <w:rFonts w:hint="eastAsia" w:ascii="仿宋_GB2312" w:hAnsi="仿宋_GB2312" w:eastAsia="仿宋_GB2312" w:cs="仿宋_GB2312"/>
          <w:bCs/>
          <w:color w:val="auto"/>
          <w:kern w:val="2"/>
          <w:sz w:val="24"/>
          <w:szCs w:val="24"/>
          <w:lang w:val="zh-CN" w:eastAsia="zh-CN" w:bidi="ar-SA"/>
        </w:rPr>
        <w:t>%。</w:t>
      </w:r>
    </w:p>
    <w:p w14:paraId="462EA63C">
      <w:pPr>
        <w:pStyle w:val="2"/>
        <w:spacing w:before="0" w:after="0" w:line="606" w:lineRule="exact"/>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五、其他</w:t>
      </w:r>
    </w:p>
    <w:p w14:paraId="273C6B71">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（一）违约责任</w:t>
      </w:r>
    </w:p>
    <w:p w14:paraId="48C20091">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1、投标人在投标过程中不得提供虚假资料，若发现投标资料造假，立即按无效投标处理，并纳入政府采购不良行为记录，依法追究相关责任。</w:t>
      </w:r>
    </w:p>
    <w:p w14:paraId="3B2CDC51">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2、服务方存在以下违约行为则赔付采购方合同10%费用。</w:t>
      </w:r>
    </w:p>
    <w:p w14:paraId="5792BAE3">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（1）不接受采购方的监管。</w:t>
      </w:r>
    </w:p>
    <w:p w14:paraId="504CA874">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（2）不定期向采购方汇报工作情况。</w:t>
      </w:r>
    </w:p>
    <w:p w14:paraId="48763D6C">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（3）未在规定时限内完成工作，或工作内容不符合采购方要求。经采购方催告或限期整改后仍不达标的。</w:t>
      </w:r>
    </w:p>
    <w:p w14:paraId="78BAC90D">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（二）本招标文件未尽事宜，按照《中华人民共和国政府采购法》《政府采购货物和服务招标投标管理办法》等相关法律法规及广东省、东莞市政府采购相关规定执行。</w:t>
      </w:r>
    </w:p>
    <w:p w14:paraId="587A1CAF">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p>
    <w:p w14:paraId="3014E16F">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p>
    <w:p w14:paraId="799EC0C2">
      <w:pPr>
        <w:rPr>
          <w:rFonts w:ascii="仿宋_GB2312" w:hAnsi="宋体" w:eastAsia="仿宋_GB2312"/>
          <w:color w:val="auto"/>
          <w:sz w:val="31"/>
          <w:szCs w:val="31"/>
        </w:rPr>
      </w:pPr>
    </w:p>
    <w:p w14:paraId="6448395C">
      <w:pPr>
        <w:rPr>
          <w:rFonts w:ascii="仿宋_GB2312" w:hAnsi="宋体" w:eastAsia="仿宋_GB2312"/>
          <w:color w:val="auto"/>
          <w:sz w:val="31"/>
          <w:szCs w:val="31"/>
        </w:rPr>
      </w:pPr>
    </w:p>
    <w:p w14:paraId="65A68C68">
      <w:pPr>
        <w:rPr>
          <w:rFonts w:ascii="仿宋_GB2312" w:hAnsi="宋体" w:eastAsia="仿宋_GB2312"/>
          <w:color w:val="auto"/>
          <w:sz w:val="31"/>
          <w:szCs w:val="31"/>
        </w:rPr>
      </w:pPr>
    </w:p>
    <w:p w14:paraId="7DFD318A">
      <w:pPr>
        <w:rPr>
          <w:rFonts w:ascii="仿宋_GB2312" w:hAnsi="宋体" w:eastAsia="仿宋_GB2312"/>
          <w:color w:val="auto"/>
          <w:sz w:val="31"/>
          <w:szCs w:val="31"/>
        </w:rPr>
      </w:pPr>
    </w:p>
    <w:p w14:paraId="04E2FF36">
      <w:pPr>
        <w:rPr>
          <w:rFonts w:ascii="仿宋_GB2312" w:hAnsi="宋体" w:eastAsia="仿宋_GB2312"/>
          <w:color w:val="auto"/>
          <w:sz w:val="31"/>
          <w:szCs w:val="31"/>
        </w:rPr>
      </w:pPr>
    </w:p>
    <w:p w14:paraId="38B8E635">
      <w:pPr>
        <w:rPr>
          <w:rFonts w:ascii="仿宋_GB2312" w:hAnsi="宋体" w:eastAsia="仿宋_GB2312"/>
          <w:color w:val="auto"/>
          <w:sz w:val="31"/>
          <w:szCs w:val="31"/>
        </w:rPr>
      </w:pPr>
    </w:p>
    <w:p w14:paraId="024AE58F">
      <w:pPr>
        <w:rPr>
          <w:rFonts w:ascii="仿宋_GB2312" w:hAnsi="宋体" w:eastAsia="仿宋_GB2312"/>
          <w:color w:val="auto"/>
          <w:sz w:val="31"/>
          <w:szCs w:val="31"/>
        </w:rPr>
      </w:pPr>
    </w:p>
    <w:p w14:paraId="0509C21A">
      <w:pPr>
        <w:rPr>
          <w:rFonts w:ascii="仿宋_GB2312" w:hAnsi="宋体" w:eastAsia="仿宋_GB2312"/>
          <w:color w:val="auto"/>
          <w:sz w:val="31"/>
          <w:szCs w:val="31"/>
        </w:rPr>
      </w:pPr>
    </w:p>
    <w:p w14:paraId="36D830B2">
      <w:pPr>
        <w:rPr>
          <w:rFonts w:ascii="仿宋_GB2312" w:hAnsi="宋体" w:eastAsia="仿宋_GB2312"/>
          <w:color w:val="auto"/>
          <w:sz w:val="31"/>
          <w:szCs w:val="31"/>
        </w:rPr>
      </w:pPr>
    </w:p>
    <w:p w14:paraId="24FEBF7B">
      <w:pPr>
        <w:rPr>
          <w:rFonts w:ascii="仿宋_GB2312" w:hAnsi="宋体" w:eastAsia="仿宋_GB2312"/>
          <w:color w:val="auto"/>
          <w:sz w:val="31"/>
          <w:szCs w:val="31"/>
        </w:rPr>
      </w:pPr>
    </w:p>
    <w:p w14:paraId="6327AE81">
      <w:pPr>
        <w:rPr>
          <w:rFonts w:ascii="仿宋_GB2312" w:hAnsi="宋体" w:eastAsia="仿宋_GB2312"/>
          <w:color w:val="auto"/>
          <w:sz w:val="31"/>
          <w:szCs w:val="31"/>
        </w:rPr>
      </w:pPr>
    </w:p>
    <w:p w14:paraId="3FD48A7E">
      <w:pPr>
        <w:rPr>
          <w:rFonts w:ascii="仿宋_GB2312" w:hAnsi="宋体" w:eastAsia="仿宋_GB2312"/>
          <w:color w:val="auto"/>
          <w:sz w:val="31"/>
          <w:szCs w:val="31"/>
        </w:rPr>
      </w:pPr>
    </w:p>
    <w:p w14:paraId="3B858F67">
      <w:pPr>
        <w:autoSpaceDE w:val="0"/>
        <w:autoSpaceDN w:val="0"/>
        <w:adjustRightInd w:val="0"/>
        <w:spacing w:line="360" w:lineRule="auto"/>
        <w:jc w:val="center"/>
        <w:rPr>
          <w:rFonts w:ascii="仿宋_GB2312" w:eastAsia="仿宋_GB2312"/>
          <w:b/>
          <w:color w:val="auto"/>
          <w:sz w:val="32"/>
          <w:szCs w:val="32"/>
          <w:lang w:val="zh-CN"/>
        </w:rPr>
      </w:pPr>
      <w:r>
        <w:rPr>
          <w:rFonts w:hint="eastAsia" w:ascii="仿宋_GB2312" w:eastAsia="仿宋_GB2312"/>
          <w:b/>
          <w:color w:val="auto"/>
          <w:sz w:val="32"/>
          <w:szCs w:val="32"/>
          <w:lang w:val="zh-CN"/>
        </w:rPr>
        <w:t>三、议价比价须知</w:t>
      </w:r>
    </w:p>
    <w:p w14:paraId="2C0C68E3">
      <w:pPr>
        <w:autoSpaceDE w:val="0"/>
        <w:autoSpaceDN w:val="0"/>
        <w:adjustRightInd w:val="0"/>
        <w:spacing w:line="360" w:lineRule="auto"/>
        <w:ind w:firstLine="422"/>
        <w:rPr>
          <w:rFonts w:ascii="仿宋_GB2312" w:eastAsia="仿宋_GB2312"/>
          <w:b/>
          <w:bCs/>
          <w:color w:val="auto"/>
          <w:sz w:val="24"/>
          <w:lang w:val="zh-CN"/>
        </w:rPr>
      </w:pPr>
    </w:p>
    <w:p w14:paraId="4BFCB65D">
      <w:pPr>
        <w:autoSpaceDE w:val="0"/>
        <w:autoSpaceDN w:val="0"/>
        <w:adjustRightInd w:val="0"/>
        <w:spacing w:line="360" w:lineRule="auto"/>
        <w:ind w:firstLine="422"/>
        <w:rPr>
          <w:rFonts w:ascii="黑体" w:hAnsi="黑体" w:eastAsia="黑体" w:cs="黑体"/>
          <w:b/>
          <w:bCs/>
          <w:color w:val="auto"/>
          <w:sz w:val="24"/>
          <w:lang w:val="zh-CN"/>
        </w:rPr>
      </w:pPr>
      <w:r>
        <w:rPr>
          <w:rFonts w:hint="eastAsia" w:ascii="黑体" w:hAnsi="黑体" w:eastAsia="黑体" w:cs="黑体"/>
          <w:b/>
          <w:bCs/>
          <w:color w:val="auto"/>
          <w:sz w:val="24"/>
          <w:lang w:val="zh-CN"/>
        </w:rPr>
        <w:t>（一）总则</w:t>
      </w:r>
    </w:p>
    <w:p w14:paraId="3F330589">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1</w:t>
      </w:r>
      <w:r>
        <w:rPr>
          <w:rFonts w:hint="eastAsia" w:ascii="仿宋_GB2312" w:eastAsia="仿宋_GB2312"/>
          <w:color w:val="auto"/>
          <w:sz w:val="24"/>
        </w:rPr>
        <w:t>.</w:t>
      </w:r>
      <w:r>
        <w:rPr>
          <w:rFonts w:hint="eastAsia" w:ascii="仿宋_GB2312" w:eastAsia="仿宋_GB2312"/>
          <w:color w:val="auto"/>
          <w:sz w:val="24"/>
          <w:lang w:val="zh-CN"/>
        </w:rPr>
        <w:t>适用范围</w:t>
      </w:r>
    </w:p>
    <w:p w14:paraId="3154EFE0">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本议价比价采购文件适用于议价比价中相关服务的议价比价采购。</w:t>
      </w:r>
    </w:p>
    <w:p w14:paraId="054DF154">
      <w:pPr>
        <w:autoSpaceDE w:val="0"/>
        <w:autoSpaceDN w:val="0"/>
        <w:adjustRightInd w:val="0"/>
        <w:spacing w:line="360" w:lineRule="auto"/>
        <w:ind w:firstLine="480" w:firstLineChars="200"/>
        <w:rPr>
          <w:rFonts w:ascii="仿宋_GB2312" w:eastAsia="仿宋_GB2312"/>
          <w:color w:val="auto"/>
          <w:sz w:val="24"/>
          <w:lang w:val="zh-CN"/>
        </w:rPr>
      </w:pPr>
      <w:r>
        <w:rPr>
          <w:rFonts w:hint="eastAsia" w:ascii="仿宋_GB2312" w:eastAsia="仿宋_GB2312"/>
          <w:color w:val="auto"/>
          <w:sz w:val="24"/>
          <w:lang w:val="zh-CN"/>
        </w:rPr>
        <w:t>2</w:t>
      </w:r>
      <w:r>
        <w:rPr>
          <w:rFonts w:hint="eastAsia" w:ascii="仿宋_GB2312" w:eastAsia="仿宋_GB2312"/>
          <w:color w:val="auto"/>
          <w:sz w:val="24"/>
        </w:rPr>
        <w:t>.</w:t>
      </w:r>
      <w:r>
        <w:rPr>
          <w:rFonts w:hint="eastAsia" w:ascii="仿宋_GB2312" w:eastAsia="仿宋_GB2312"/>
          <w:color w:val="auto"/>
          <w:sz w:val="24"/>
          <w:lang w:val="zh-CN"/>
        </w:rPr>
        <w:t>定义</w:t>
      </w:r>
    </w:p>
    <w:p w14:paraId="3C83B256">
      <w:pPr>
        <w:autoSpaceDE w:val="0"/>
        <w:autoSpaceDN w:val="0"/>
        <w:adjustRightInd w:val="0"/>
        <w:spacing w:line="360" w:lineRule="auto"/>
        <w:ind w:firstLine="420"/>
        <w:rPr>
          <w:rFonts w:ascii="仿宋_GB2312" w:hAnsi="宋体" w:eastAsia="仿宋_GB2312"/>
          <w:b/>
          <w:color w:val="auto"/>
          <w:sz w:val="24"/>
        </w:rPr>
      </w:pPr>
      <w:r>
        <w:rPr>
          <w:rFonts w:hint="eastAsia" w:ascii="仿宋_GB2312" w:eastAsia="仿宋_GB2312"/>
          <w:color w:val="auto"/>
          <w:sz w:val="24"/>
          <w:lang w:val="zh-CN"/>
        </w:rPr>
        <w:t>（1）“采购人”是东莞市社会保险基金管理中心。</w:t>
      </w:r>
    </w:p>
    <w:p w14:paraId="603F79A3">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（2）“供应商”指按照本文件规定获得议价比价采购文件并参加议价比价的供应商。</w:t>
      </w:r>
    </w:p>
    <w:p w14:paraId="1D62D93F">
      <w:pPr>
        <w:pStyle w:val="54"/>
        <w:numPr>
          <w:ilvl w:val="0"/>
          <w:numId w:val="1"/>
        </w:numPr>
        <w:adjustRightInd w:val="0"/>
        <w:snapToGrid w:val="0"/>
        <w:spacing w:line="360" w:lineRule="auto"/>
        <w:ind w:firstLineChars="0"/>
        <w:rPr>
          <w:rFonts w:ascii="仿宋_GB2312" w:eastAsia="仿宋_GB2312"/>
          <w:b/>
          <w:color w:val="auto"/>
          <w:sz w:val="24"/>
        </w:rPr>
      </w:pPr>
      <w:r>
        <w:rPr>
          <w:rFonts w:hint="eastAsia" w:ascii="仿宋_GB2312" w:eastAsia="仿宋_GB2312"/>
          <w:b/>
          <w:color w:val="auto"/>
          <w:sz w:val="24"/>
        </w:rPr>
        <w:t>合格的供应商</w:t>
      </w:r>
    </w:p>
    <w:p w14:paraId="38583484">
      <w:pPr>
        <w:widowControl/>
        <w:spacing w:after="0" w:line="360" w:lineRule="auto"/>
        <w:ind w:firstLine="480" w:firstLineChars="200"/>
        <w:rPr>
          <w:rFonts w:hint="eastAsia" w:ascii="仿宋_GB2312" w:eastAsia="仿宋_GB2312" w:cs="Times New Roman"/>
          <w:b w:val="0"/>
          <w:bCs w:val="0"/>
          <w:color w:val="auto"/>
          <w:sz w:val="24"/>
          <w:szCs w:val="24"/>
          <w:lang w:val="zh-CN" w:eastAsia="zh-CN"/>
        </w:rPr>
      </w:pPr>
      <w:bookmarkStart w:id="5" w:name="OLE_LINK13"/>
      <w:bookmarkStart w:id="6" w:name="OLE_LINK12"/>
      <w:bookmarkStart w:id="7" w:name="OLE_LINK33"/>
      <w:r>
        <w:rPr>
          <w:rFonts w:hint="eastAsia" w:ascii="仿宋_GB2312" w:eastAsia="仿宋_GB2312" w:cs="Times New Roman"/>
          <w:color w:val="auto"/>
          <w:sz w:val="24"/>
          <w:szCs w:val="24"/>
          <w:lang w:val="zh-CN"/>
        </w:rPr>
        <w:t>满足《中华人民共和国政府采购法》第二十二条规定</w:t>
      </w:r>
      <w:r>
        <w:rPr>
          <w:rFonts w:hint="eastAsia" w:ascii="仿宋_GB2312" w:eastAsia="仿宋_GB2312" w:cs="Times New Roman"/>
          <w:color w:val="auto"/>
          <w:sz w:val="24"/>
          <w:szCs w:val="24"/>
          <w:lang w:val="zh-CN" w:eastAsia="zh-CN"/>
        </w:rPr>
        <w:t>，具体如下：</w:t>
      </w:r>
    </w:p>
    <w:p w14:paraId="4BBCA3B3">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1.在中华人民共和国境内依法</w:t>
      </w:r>
      <w:r>
        <w:rPr>
          <w:rFonts w:hint="eastAsia" w:ascii="仿宋_GB2312" w:eastAsia="仿宋_GB2312" w:cs="Times New Roman"/>
          <w:color w:val="auto"/>
          <w:sz w:val="24"/>
          <w:szCs w:val="24"/>
          <w:lang w:val="zh-CN" w:eastAsia="zh-CN"/>
        </w:rPr>
        <w:t>成立</w:t>
      </w:r>
      <w:r>
        <w:rPr>
          <w:rFonts w:hint="eastAsia" w:ascii="仿宋_GB2312" w:eastAsia="仿宋_GB2312" w:cs="Times New Roman"/>
          <w:color w:val="auto"/>
          <w:sz w:val="24"/>
          <w:szCs w:val="24"/>
          <w:lang w:val="zh-CN"/>
        </w:rPr>
        <w:t>、具有独立承担民事责任能力的法人</w:t>
      </w:r>
      <w:r>
        <w:rPr>
          <w:rFonts w:hint="eastAsia" w:ascii="仿宋_GB2312" w:eastAsia="仿宋_GB2312" w:cs="Times New Roman"/>
          <w:color w:val="auto"/>
          <w:sz w:val="24"/>
          <w:szCs w:val="24"/>
          <w:lang w:val="zh-CN" w:eastAsia="zh-CN"/>
        </w:rPr>
        <w:t>或</w:t>
      </w:r>
      <w:r>
        <w:rPr>
          <w:rFonts w:hint="eastAsia" w:ascii="仿宋_GB2312" w:eastAsia="仿宋_GB2312" w:cs="Times New Roman"/>
          <w:color w:val="auto"/>
          <w:sz w:val="24"/>
          <w:szCs w:val="24"/>
          <w:lang w:val="zh-CN"/>
        </w:rPr>
        <w:t>非法人组织或自然人；须提供以下相关证照的扫描件</w:t>
      </w:r>
      <w:r>
        <w:rPr>
          <w:rFonts w:hint="eastAsia" w:ascii="仿宋_GB2312" w:eastAsia="仿宋_GB2312" w:cs="Times New Roman"/>
          <w:color w:val="auto"/>
          <w:sz w:val="24"/>
          <w:szCs w:val="24"/>
          <w:lang w:val="zh-CN" w:eastAsia="zh-CN"/>
        </w:rPr>
        <w:t>/复印件</w:t>
      </w:r>
      <w:r>
        <w:rPr>
          <w:rFonts w:hint="eastAsia" w:ascii="仿宋_GB2312" w:eastAsia="仿宋_GB2312" w:cs="Times New Roman"/>
          <w:color w:val="auto"/>
          <w:sz w:val="24"/>
          <w:szCs w:val="24"/>
          <w:lang w:val="zh-CN"/>
        </w:rPr>
        <w:t>之一：1.企业法人提供企业法人营业执照；2.事业法人提供事业法人(登记)证书；3.其他组织提供其他组织的营业执照或执业许可证。注：如分支机构投标的，还须提供分支机构的营业执照扫描件</w:t>
      </w:r>
      <w:r>
        <w:rPr>
          <w:rFonts w:hint="eastAsia" w:ascii="仿宋_GB2312" w:eastAsia="仿宋_GB2312" w:cs="Times New Roman"/>
          <w:color w:val="auto"/>
          <w:sz w:val="24"/>
          <w:szCs w:val="24"/>
          <w:lang w:val="zh-CN" w:eastAsia="zh-CN"/>
        </w:rPr>
        <w:t>/复印件</w:t>
      </w:r>
      <w:r>
        <w:rPr>
          <w:rFonts w:hint="eastAsia" w:ascii="仿宋_GB2312" w:eastAsia="仿宋_GB2312" w:cs="Times New Roman"/>
          <w:color w:val="auto"/>
          <w:sz w:val="24"/>
          <w:szCs w:val="24"/>
          <w:lang w:val="zh-CN"/>
        </w:rPr>
        <w:t>及总公司出具给分支机构的授权书（授权书格式自拟）。</w:t>
      </w:r>
    </w:p>
    <w:p w14:paraId="043B9864">
      <w:pPr>
        <w:widowControl/>
        <w:spacing w:after="0" w:line="360" w:lineRule="auto"/>
        <w:ind w:firstLine="480" w:firstLineChars="200"/>
        <w:rPr>
          <w:rFonts w:hint="eastAsia" w:ascii="仿宋_GB2312" w:eastAsia="仿宋_GB2312" w:cs="Times New Roman"/>
          <w:color w:val="auto"/>
          <w:sz w:val="24"/>
          <w:szCs w:val="24"/>
          <w:lang w:val="zh-CN" w:eastAsia="zh-CN"/>
        </w:rPr>
      </w:pPr>
      <w:r>
        <w:rPr>
          <w:rFonts w:hint="eastAsia" w:ascii="仿宋_GB2312" w:eastAsia="仿宋_GB2312" w:cs="Times New Roman"/>
          <w:color w:val="auto"/>
          <w:sz w:val="24"/>
          <w:szCs w:val="24"/>
          <w:lang w:val="zh-CN"/>
        </w:rPr>
        <w:t>2.</w:t>
      </w:r>
      <w:r>
        <w:rPr>
          <w:rFonts w:hint="eastAsia" w:ascii="仿宋_GB2312" w:eastAsia="仿宋_GB2312" w:cs="Times New Roman"/>
          <w:color w:val="auto"/>
          <w:sz w:val="24"/>
          <w:szCs w:val="24"/>
          <w:lang w:val="zh-CN" w:eastAsia="zh-CN"/>
        </w:rPr>
        <w:t>投标人具有良好的履行合同能力，具备完善的提供相应施工、供货或服务的能力；具有良好的资金、财务状况和经营状况；具有良好的商业信誉；有依法缴纳税收和社会保障资金的良好记录。具备国家有关部门、行业要求必须取得的质量、安全、环保认证及其他经营许可；具有国家法律、法规和规章以及企业规定的其他必须具备的条件。注：按招标文件要求的格式及内容，提供资格要求承诺函。</w:t>
      </w:r>
    </w:p>
    <w:p w14:paraId="4E4B048E">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eastAsia="zh-CN"/>
        </w:rPr>
        <w:t>3.</w:t>
      </w:r>
      <w:r>
        <w:rPr>
          <w:rFonts w:hint="eastAsia" w:ascii="仿宋_GB2312" w:eastAsia="仿宋_GB2312" w:cs="Times New Roman"/>
          <w:color w:val="auto"/>
          <w:sz w:val="24"/>
          <w:szCs w:val="24"/>
          <w:lang w:val="zh-CN"/>
        </w:rPr>
        <w:t>投标人未被列入“信用中国”网站(www.creditchina.gov.cn)以下任意记录名单之一：失信被执行人、重大税收违法失信主体、政府采购严重违法失信行为记录名单【如所列的记录名单名称存在变更的，以前述网站公布的最新名称为准】。同时，不处于中国政府采购网(www.ccgp.gov.cn)“政府采购严重违法失信行为信息记录”中的禁止参加政府采购活动期间。注：投标截止日，招标人将在“信用中国”网站（www.creditchina.gov.cn）及中国政府采购网(www.ccgp.gov.cn)查询并截图，以招标人查询结果为准。如相关失信记录已失效，</w:t>
      </w:r>
      <w:r>
        <w:rPr>
          <w:rFonts w:hint="eastAsia" w:ascii="仿宋_GB2312" w:eastAsia="仿宋_GB2312" w:cs="Times New Roman"/>
          <w:color w:val="auto"/>
          <w:sz w:val="24"/>
          <w:szCs w:val="24"/>
          <w:lang w:val="zh-CN" w:eastAsia="zh-CN"/>
        </w:rPr>
        <w:t>投标</w:t>
      </w:r>
      <w:r>
        <w:rPr>
          <w:rFonts w:hint="eastAsia" w:ascii="仿宋_GB2312" w:eastAsia="仿宋_GB2312" w:cs="Times New Roman"/>
          <w:color w:val="auto"/>
          <w:sz w:val="24"/>
          <w:szCs w:val="24"/>
          <w:lang w:val="zh-CN"/>
        </w:rPr>
        <w:t>人须提供相关证明资料。</w:t>
      </w:r>
    </w:p>
    <w:p w14:paraId="0081004F">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eastAsia="zh-CN"/>
        </w:rPr>
        <w:t>4</w:t>
      </w:r>
      <w:r>
        <w:rPr>
          <w:rFonts w:hint="eastAsia" w:ascii="仿宋_GB2312" w:eastAsia="仿宋_GB2312" w:cs="Times New Roman"/>
          <w:color w:val="auto"/>
          <w:sz w:val="24"/>
          <w:szCs w:val="24"/>
          <w:lang w:val="zh-CN"/>
        </w:rPr>
        <w:t>.投标人不得存在以下情形：</w:t>
      </w:r>
    </w:p>
    <w:p w14:paraId="2DE5B071">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①</w:t>
      </w:r>
      <w:r>
        <w:rPr>
          <w:rFonts w:hint="eastAsia" w:ascii="仿宋_GB2312" w:eastAsia="仿宋_GB2312" w:cs="Times New Roman"/>
          <w:color w:val="auto"/>
          <w:sz w:val="24"/>
          <w:szCs w:val="24"/>
          <w:lang w:val="zh-CN" w:eastAsia="zh-CN"/>
        </w:rPr>
        <w:t>投</w:t>
      </w:r>
      <w:r>
        <w:rPr>
          <w:rFonts w:hint="eastAsia" w:ascii="仿宋_GB2312" w:eastAsia="仿宋_GB2312" w:cs="Times New Roman"/>
          <w:color w:val="auto"/>
          <w:sz w:val="24"/>
          <w:szCs w:val="24"/>
          <w:lang w:val="zh-CN"/>
        </w:rPr>
        <w:t>标人不具有独立法人资格的附属机构(单位)；</w:t>
      </w:r>
    </w:p>
    <w:p w14:paraId="35E101BE">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②被责令停产停业、暂扣或者吊销许可证、暂扣或者吊销执照；进入清算程序，或被宣告破产，或其他丧失履约能力的情形。</w:t>
      </w:r>
    </w:p>
    <w:p w14:paraId="3F9FB8E1">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③在最近三年内有被行政监督部门判定存在骗取中标的行为（以行政监督部门的行政处罚决定或司法机关出具的有关法律文书为准）；</w:t>
      </w:r>
    </w:p>
    <w:p w14:paraId="69D5DFE3">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④不同投标人的法定代表人或单位负责人为同一人，或存在控股、管理关系的不同单位（不含拥有共同股东的情形），参加同一采购包或同一项目（未划分采购包）的投标；</w:t>
      </w:r>
    </w:p>
    <w:p w14:paraId="3899449E">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⑤近三年在招标人的</w:t>
      </w:r>
      <w:r>
        <w:rPr>
          <w:rFonts w:hint="eastAsia" w:ascii="仿宋_GB2312" w:eastAsia="仿宋_GB2312" w:cs="Times New Roman"/>
          <w:color w:val="auto"/>
          <w:sz w:val="24"/>
          <w:szCs w:val="24"/>
          <w:lang w:val="zh-CN" w:eastAsia="zh-CN"/>
        </w:rPr>
        <w:t>采购</w:t>
      </w:r>
      <w:r>
        <w:rPr>
          <w:rFonts w:hint="eastAsia" w:ascii="仿宋_GB2312" w:eastAsia="仿宋_GB2312" w:cs="Times New Roman"/>
          <w:color w:val="auto"/>
          <w:sz w:val="24"/>
          <w:szCs w:val="24"/>
          <w:lang w:val="zh-CN"/>
        </w:rPr>
        <w:t>活动中</w:t>
      </w:r>
      <w:r>
        <w:rPr>
          <w:rFonts w:hint="eastAsia" w:ascii="仿宋_GB2312" w:eastAsia="仿宋_GB2312" w:cs="Times New Roman"/>
          <w:color w:val="auto"/>
          <w:sz w:val="24"/>
          <w:szCs w:val="24"/>
          <w:lang w:val="zh-CN" w:eastAsia="zh-CN"/>
        </w:rPr>
        <w:t>出现</w:t>
      </w:r>
      <w:r>
        <w:rPr>
          <w:rFonts w:hint="eastAsia" w:ascii="仿宋_GB2312" w:eastAsia="仿宋_GB2312" w:cs="Times New Roman"/>
          <w:color w:val="auto"/>
          <w:sz w:val="24"/>
          <w:szCs w:val="24"/>
          <w:lang w:val="zh-CN"/>
        </w:rPr>
        <w:t>骗取中标</w:t>
      </w:r>
      <w:r>
        <w:rPr>
          <w:rFonts w:hint="eastAsia" w:ascii="仿宋_GB2312" w:eastAsia="仿宋_GB2312" w:cs="Times New Roman"/>
          <w:color w:val="auto"/>
          <w:sz w:val="24"/>
          <w:szCs w:val="24"/>
          <w:lang w:val="zh-CN" w:eastAsia="zh-CN"/>
        </w:rPr>
        <w:t>、串通投标等违反招标人采购管理规范行为</w:t>
      </w:r>
      <w:r>
        <w:rPr>
          <w:rFonts w:hint="eastAsia" w:ascii="仿宋_GB2312" w:eastAsia="仿宋_GB2312" w:cs="Times New Roman"/>
          <w:color w:val="auto"/>
          <w:sz w:val="24"/>
          <w:szCs w:val="24"/>
          <w:lang w:val="zh-CN"/>
        </w:rPr>
        <w:t>。</w:t>
      </w:r>
    </w:p>
    <w:p w14:paraId="35EFE43D">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⑥近三年经营活动中存在重大经济纠纷、重大法律纠纷</w:t>
      </w:r>
      <w:r>
        <w:rPr>
          <w:rFonts w:hint="eastAsia" w:ascii="仿宋_GB2312" w:eastAsia="仿宋_GB2312" w:cs="Times New Roman"/>
          <w:color w:val="auto"/>
          <w:sz w:val="24"/>
          <w:szCs w:val="24"/>
          <w:lang w:val="zh-CN" w:eastAsia="zh-CN"/>
        </w:rPr>
        <w:t>、</w:t>
      </w:r>
      <w:r>
        <w:rPr>
          <w:rFonts w:hint="eastAsia" w:ascii="仿宋_GB2312" w:eastAsia="仿宋_GB2312" w:cs="Times New Roman"/>
          <w:color w:val="auto"/>
          <w:sz w:val="24"/>
          <w:szCs w:val="24"/>
          <w:lang w:val="zh-CN"/>
        </w:rPr>
        <w:t>重大行政处罚、失信记录、违法记录、</w:t>
      </w:r>
      <w:r>
        <w:rPr>
          <w:rFonts w:hint="eastAsia" w:ascii="仿宋_GB2312" w:eastAsia="仿宋_GB2312" w:cs="Times New Roman"/>
          <w:color w:val="auto"/>
          <w:sz w:val="24"/>
          <w:szCs w:val="24"/>
          <w:lang w:val="zh-CN" w:eastAsia="zh-CN"/>
        </w:rPr>
        <w:t>违规记录、</w:t>
      </w:r>
      <w:r>
        <w:rPr>
          <w:rFonts w:hint="eastAsia" w:ascii="仿宋_GB2312" w:eastAsia="仿宋_GB2312" w:cs="Times New Roman"/>
          <w:color w:val="auto"/>
          <w:sz w:val="24"/>
          <w:szCs w:val="24"/>
          <w:lang w:val="zh-CN"/>
        </w:rPr>
        <w:t>刑事犯罪等违法违规记录（以行政监督部门的行政处罚决定或司法机关出具的有关法律文书为准）。</w:t>
      </w:r>
    </w:p>
    <w:p w14:paraId="711517AC">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⑦与招标人存在利害关系可能影响招标公正性的法人、其他组织或者个人。</w:t>
      </w:r>
    </w:p>
    <w:p w14:paraId="12F458BA">
      <w:pPr>
        <w:widowControl/>
        <w:spacing w:after="0" w:line="360" w:lineRule="auto"/>
        <w:ind w:firstLine="480" w:firstLineChars="200"/>
        <w:rPr>
          <w:rFonts w:hint="eastAsia" w:ascii="仿宋_GB2312" w:eastAsia="仿宋_GB2312" w:cs="Times New Roman"/>
          <w:color w:val="auto"/>
          <w:sz w:val="24"/>
          <w:szCs w:val="24"/>
          <w:lang w:val="zh-CN" w:eastAsia="zh-CN"/>
        </w:rPr>
      </w:pPr>
      <w:r>
        <w:rPr>
          <w:rFonts w:hint="eastAsia" w:ascii="仿宋_GB2312" w:eastAsia="仿宋_GB2312" w:cs="Times New Roman"/>
          <w:color w:val="auto"/>
          <w:sz w:val="24"/>
          <w:szCs w:val="24"/>
          <w:lang w:val="zh-CN"/>
        </w:rPr>
        <w:t>⑧被列入</w:t>
      </w:r>
      <w:r>
        <w:rPr>
          <w:rFonts w:hint="eastAsia" w:ascii="仿宋_GB2312" w:eastAsia="仿宋_GB2312" w:cs="Times New Roman"/>
          <w:color w:val="auto"/>
          <w:sz w:val="24"/>
          <w:szCs w:val="24"/>
          <w:lang w:val="zh-CN" w:eastAsia="zh-CN"/>
        </w:rPr>
        <w:t>招标人黑名单且在禁止合作期限内。</w:t>
      </w:r>
    </w:p>
    <w:p w14:paraId="0F4ACFFB">
      <w:pPr>
        <w:widowControl/>
        <w:spacing w:after="0" w:line="360" w:lineRule="auto"/>
        <w:ind w:firstLine="480" w:firstLineChars="200"/>
        <w:rPr>
          <w:rFonts w:hint="eastAsia" w:ascii="仿宋_GB2312" w:eastAsia="仿宋_GB2312" w:cs="Times New Roman"/>
          <w:color w:val="auto"/>
          <w:sz w:val="24"/>
          <w:szCs w:val="24"/>
          <w:lang w:val="zh-CN" w:eastAsia="zh-CN"/>
        </w:rPr>
      </w:pPr>
      <w:r>
        <w:rPr>
          <w:rFonts w:hint="eastAsia" w:ascii="仿宋_GB2312" w:eastAsia="仿宋_GB2312" w:cs="Times New Roman"/>
          <w:color w:val="auto"/>
          <w:sz w:val="24"/>
          <w:szCs w:val="24"/>
          <w:lang w:val="zh-CN" w:eastAsia="zh-CN"/>
        </w:rPr>
        <w:t>⑨被国家相关部门认定为严重违法失信、企业经营异常或案件当事人。</w:t>
      </w:r>
    </w:p>
    <w:p w14:paraId="5016350F">
      <w:pPr>
        <w:widowControl/>
        <w:spacing w:after="0" w:line="360" w:lineRule="auto"/>
        <w:ind w:firstLine="480" w:firstLineChars="200"/>
        <w:rPr>
          <w:rFonts w:hint="eastAsia" w:ascii="仿宋_GB2312" w:eastAsia="仿宋_GB2312" w:cs="Times New Roman"/>
          <w:color w:val="auto"/>
          <w:sz w:val="24"/>
          <w:szCs w:val="24"/>
          <w:lang w:val="zh-CN"/>
        </w:rPr>
      </w:pPr>
      <w:r>
        <w:rPr>
          <w:rFonts w:hint="eastAsia" w:ascii="仿宋_GB2312" w:eastAsia="仿宋_GB2312" w:cs="Times New Roman"/>
          <w:color w:val="auto"/>
          <w:sz w:val="24"/>
          <w:szCs w:val="24"/>
          <w:lang w:val="zh-CN"/>
        </w:rPr>
        <w:t>注：按招标文件要求的格式及内容，提供资格要求承诺函。</w:t>
      </w:r>
    </w:p>
    <w:p w14:paraId="7271AF58">
      <w:pPr>
        <w:pStyle w:val="54"/>
        <w:numPr>
          <w:ilvl w:val="0"/>
          <w:numId w:val="0"/>
        </w:numPr>
        <w:spacing w:line="360" w:lineRule="auto"/>
        <w:ind w:leftChars="0" w:firstLine="480" w:firstLineChars="200"/>
        <w:rPr>
          <w:rFonts w:ascii="仿宋_GB2312" w:eastAsia="仿宋_GB2312"/>
          <w:color w:val="auto"/>
          <w:sz w:val="24"/>
          <w:lang w:val="zh-CN"/>
        </w:rPr>
      </w:pPr>
      <w:r>
        <w:rPr>
          <w:rFonts w:hint="eastAsia" w:ascii="仿宋_GB2312" w:eastAsia="仿宋_GB2312" w:cs="Times New Roman"/>
          <w:color w:val="auto"/>
          <w:sz w:val="24"/>
          <w:szCs w:val="24"/>
          <w:lang w:val="zh-CN" w:eastAsia="zh-CN"/>
        </w:rPr>
        <w:t>5</w:t>
      </w:r>
      <w:r>
        <w:rPr>
          <w:rFonts w:hint="eastAsia" w:ascii="仿宋_GB2312" w:eastAsia="仿宋_GB2312" w:cs="Times New Roman"/>
          <w:color w:val="auto"/>
          <w:sz w:val="24"/>
          <w:szCs w:val="24"/>
          <w:lang w:val="zh-CN"/>
        </w:rPr>
        <w:t>.本项目不允许联合体投标。</w:t>
      </w:r>
      <w:bookmarkEnd w:id="5"/>
      <w:bookmarkEnd w:id="6"/>
    </w:p>
    <w:bookmarkEnd w:id="7"/>
    <w:p w14:paraId="2AE6882B">
      <w:pPr>
        <w:autoSpaceDE w:val="0"/>
        <w:autoSpaceDN w:val="0"/>
        <w:adjustRightInd w:val="0"/>
        <w:spacing w:line="360" w:lineRule="auto"/>
        <w:ind w:firstLine="540" w:firstLineChars="224"/>
        <w:rPr>
          <w:rFonts w:ascii="仿宋_GB2312" w:eastAsia="仿宋_GB2312"/>
          <w:b/>
          <w:color w:val="auto"/>
          <w:sz w:val="24"/>
          <w:lang w:val="zh-CN"/>
        </w:rPr>
      </w:pPr>
      <w:r>
        <w:rPr>
          <w:rFonts w:hint="eastAsia" w:ascii="仿宋_GB2312" w:eastAsia="仿宋_GB2312"/>
          <w:b/>
          <w:color w:val="auto"/>
          <w:sz w:val="24"/>
          <w:lang w:val="zh-CN"/>
        </w:rPr>
        <w:t>（三）报价文件编制及要求</w:t>
      </w:r>
    </w:p>
    <w:p w14:paraId="6CAC5411">
      <w:pPr>
        <w:autoSpaceDE w:val="0"/>
        <w:autoSpaceDN w:val="0"/>
        <w:adjustRightInd w:val="0"/>
        <w:spacing w:line="360" w:lineRule="auto"/>
        <w:ind w:firstLine="540" w:firstLineChars="225"/>
        <w:rPr>
          <w:rFonts w:ascii="仿宋_GB2312" w:eastAsia="仿宋_GB2312"/>
          <w:color w:val="auto"/>
          <w:sz w:val="24"/>
          <w:lang w:val="zh-CN"/>
        </w:rPr>
      </w:pPr>
      <w:r>
        <w:rPr>
          <w:rFonts w:hint="eastAsia" w:ascii="仿宋_GB2312" w:eastAsia="仿宋_GB2312"/>
          <w:color w:val="auto"/>
          <w:sz w:val="24"/>
          <w:lang w:val="zh-CN"/>
        </w:rPr>
        <w:t>1</w:t>
      </w:r>
      <w:r>
        <w:rPr>
          <w:rFonts w:hint="eastAsia" w:ascii="仿宋_GB2312" w:eastAsia="仿宋_GB2312"/>
          <w:color w:val="auto"/>
          <w:sz w:val="24"/>
        </w:rPr>
        <w:t>.</w:t>
      </w:r>
      <w:r>
        <w:rPr>
          <w:rFonts w:hint="eastAsia" w:ascii="仿宋_GB2312" w:eastAsia="仿宋_GB2312"/>
          <w:color w:val="auto"/>
          <w:sz w:val="24"/>
          <w:lang w:val="zh-CN"/>
        </w:rPr>
        <w:t>供应商应当按照议价比价采购文件的要求编制报价文件，报价文件应当对议价比价采购文件提出的要求和条件作出实质性应答。</w:t>
      </w:r>
    </w:p>
    <w:p w14:paraId="4D387F09">
      <w:pPr>
        <w:autoSpaceDE w:val="0"/>
        <w:autoSpaceDN w:val="0"/>
        <w:adjustRightInd w:val="0"/>
        <w:spacing w:line="360" w:lineRule="auto"/>
        <w:ind w:firstLine="540" w:firstLineChars="225"/>
        <w:rPr>
          <w:rFonts w:ascii="仿宋_GB2312" w:eastAsia="仿宋_GB2312"/>
          <w:color w:val="auto"/>
          <w:sz w:val="24"/>
          <w:lang w:val="zh-CN"/>
        </w:rPr>
      </w:pPr>
      <w:r>
        <w:rPr>
          <w:rFonts w:hint="eastAsia" w:ascii="仿宋_GB2312" w:eastAsia="仿宋_GB2312"/>
          <w:color w:val="auto"/>
          <w:sz w:val="24"/>
          <w:lang w:val="zh-CN"/>
        </w:rPr>
        <w:t>2</w:t>
      </w:r>
      <w:r>
        <w:rPr>
          <w:rFonts w:hint="eastAsia" w:ascii="仿宋_GB2312" w:eastAsia="仿宋_GB2312"/>
          <w:color w:val="auto"/>
          <w:sz w:val="24"/>
        </w:rPr>
        <w:t>.</w:t>
      </w:r>
      <w:r>
        <w:rPr>
          <w:rFonts w:hint="eastAsia" w:ascii="仿宋_GB2312" w:eastAsia="仿宋_GB2312"/>
          <w:color w:val="auto"/>
          <w:sz w:val="24"/>
          <w:lang w:val="zh-CN"/>
        </w:rPr>
        <w:t>报价文件应用A4规格纸编制并装订成册，主要由以下几个部分组成：</w:t>
      </w:r>
    </w:p>
    <w:p w14:paraId="33CDD910">
      <w:pPr>
        <w:autoSpaceDE w:val="0"/>
        <w:autoSpaceDN w:val="0"/>
        <w:adjustRightInd w:val="0"/>
        <w:spacing w:line="360" w:lineRule="auto"/>
        <w:ind w:firstLine="540" w:firstLineChars="225"/>
        <w:rPr>
          <w:rFonts w:ascii="仿宋_GB2312" w:eastAsia="仿宋_GB2312"/>
          <w:color w:val="auto"/>
          <w:sz w:val="24"/>
          <w:lang w:val="zh-CN"/>
        </w:rPr>
      </w:pPr>
      <w:r>
        <w:rPr>
          <w:rFonts w:hint="eastAsia" w:ascii="仿宋_GB2312" w:eastAsia="仿宋_GB2312"/>
          <w:color w:val="auto"/>
          <w:sz w:val="24"/>
          <w:lang w:val="zh-CN"/>
        </w:rPr>
        <w:t>（1）封面。</w:t>
      </w:r>
    </w:p>
    <w:p w14:paraId="35FBC1B1">
      <w:pPr>
        <w:autoSpaceDE w:val="0"/>
        <w:autoSpaceDN w:val="0"/>
        <w:adjustRightInd w:val="0"/>
        <w:spacing w:line="360" w:lineRule="auto"/>
        <w:ind w:firstLine="540" w:firstLineChars="225"/>
        <w:rPr>
          <w:rFonts w:ascii="仿宋_GB2312" w:eastAsia="仿宋_GB2312"/>
          <w:color w:val="auto"/>
          <w:sz w:val="24"/>
          <w:lang w:val="zh-CN"/>
        </w:rPr>
      </w:pPr>
      <w:r>
        <w:rPr>
          <w:rFonts w:hint="eastAsia" w:ascii="仿宋_GB2312" w:eastAsia="仿宋_GB2312"/>
          <w:color w:val="auto"/>
          <w:sz w:val="24"/>
          <w:lang w:val="zh-CN"/>
        </w:rPr>
        <w:t>（2）报价申请及声明。</w:t>
      </w:r>
    </w:p>
    <w:p w14:paraId="7C54C036">
      <w:pPr>
        <w:autoSpaceDE w:val="0"/>
        <w:autoSpaceDN w:val="0"/>
        <w:adjustRightInd w:val="0"/>
        <w:spacing w:line="360" w:lineRule="auto"/>
        <w:ind w:firstLine="540" w:firstLineChars="225"/>
        <w:rPr>
          <w:rFonts w:ascii="仿宋_GB2312" w:eastAsia="仿宋_GB2312"/>
          <w:color w:val="auto"/>
          <w:sz w:val="24"/>
          <w:lang w:val="zh-CN"/>
        </w:rPr>
      </w:pPr>
      <w:r>
        <w:rPr>
          <w:rFonts w:hint="eastAsia" w:ascii="仿宋_GB2312" w:eastAsia="仿宋_GB2312"/>
          <w:color w:val="auto"/>
          <w:sz w:val="24"/>
          <w:lang w:val="zh-CN"/>
        </w:rPr>
        <w:t>（3）报价部分。供应商应按照议价比价采购文件要求报出拟提供货物和服务的单价、总价，各项报价应包括拟提供货物的运输、安装、调试、相关税金，以及服务等全部费用。</w:t>
      </w:r>
    </w:p>
    <w:p w14:paraId="6663A99D">
      <w:pPr>
        <w:autoSpaceDE w:val="0"/>
        <w:autoSpaceDN w:val="0"/>
        <w:adjustRightInd w:val="0"/>
        <w:spacing w:line="360" w:lineRule="auto"/>
        <w:ind w:firstLine="540" w:firstLineChars="225"/>
        <w:rPr>
          <w:rFonts w:ascii="仿宋_GB2312" w:eastAsia="仿宋_GB2312"/>
          <w:color w:val="auto"/>
          <w:sz w:val="24"/>
          <w:lang w:val="zh-CN"/>
        </w:rPr>
      </w:pPr>
      <w:r>
        <w:rPr>
          <w:rFonts w:hint="eastAsia" w:ascii="仿宋_GB2312" w:eastAsia="仿宋_GB2312"/>
          <w:color w:val="auto"/>
          <w:sz w:val="24"/>
          <w:lang w:val="zh-CN"/>
        </w:rPr>
        <w:t>（4）商务部分。主要包括营业执照、税务登记证、组织机构代码的资格证明文件（加盖公章的复印件，如“三证合一”的营业执照，则不需要提供税务登记证和组织机构代码证）。</w:t>
      </w:r>
    </w:p>
    <w:p w14:paraId="472EF315">
      <w:pPr>
        <w:autoSpaceDE w:val="0"/>
        <w:autoSpaceDN w:val="0"/>
        <w:adjustRightInd w:val="0"/>
        <w:spacing w:line="360" w:lineRule="auto"/>
        <w:ind w:firstLine="540" w:firstLineChars="225"/>
        <w:rPr>
          <w:rFonts w:ascii="仿宋_GB2312" w:eastAsia="仿宋_GB2312"/>
          <w:color w:val="auto"/>
          <w:sz w:val="24"/>
          <w:lang w:val="zh-CN"/>
        </w:rPr>
      </w:pPr>
      <w:r>
        <w:rPr>
          <w:rFonts w:hint="eastAsia" w:ascii="仿宋_GB2312" w:eastAsia="仿宋_GB2312"/>
          <w:color w:val="auto"/>
          <w:sz w:val="24"/>
          <w:lang w:val="zh-CN"/>
        </w:rPr>
        <w:t>（5）技术偏离表</w:t>
      </w:r>
    </w:p>
    <w:p w14:paraId="2C962431">
      <w:pPr>
        <w:autoSpaceDE w:val="0"/>
        <w:autoSpaceDN w:val="0"/>
        <w:adjustRightInd w:val="0"/>
        <w:spacing w:line="360" w:lineRule="auto"/>
        <w:ind w:firstLine="420"/>
        <w:rPr>
          <w:rFonts w:ascii="仿宋_GB2312" w:eastAsia="仿宋_GB2312"/>
          <w:b/>
          <w:color w:val="auto"/>
          <w:sz w:val="24"/>
          <w:lang w:val="zh-CN"/>
        </w:rPr>
      </w:pPr>
      <w:r>
        <w:rPr>
          <w:rFonts w:hint="eastAsia" w:ascii="仿宋_GB2312" w:eastAsia="仿宋_GB2312"/>
          <w:b/>
          <w:color w:val="auto"/>
          <w:sz w:val="24"/>
          <w:lang w:val="zh-CN"/>
        </w:rPr>
        <w:t>（四）报价文件递交</w:t>
      </w:r>
    </w:p>
    <w:p w14:paraId="6DD9CCB5">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1</w:t>
      </w:r>
      <w:r>
        <w:rPr>
          <w:rFonts w:hint="eastAsia" w:ascii="仿宋_GB2312" w:eastAsia="仿宋_GB2312"/>
          <w:color w:val="auto"/>
          <w:sz w:val="24"/>
        </w:rPr>
        <w:t>.</w:t>
      </w:r>
      <w:r>
        <w:rPr>
          <w:rFonts w:hint="eastAsia" w:ascii="仿宋_GB2312" w:eastAsia="仿宋_GB2312"/>
          <w:color w:val="auto"/>
          <w:sz w:val="24"/>
          <w:lang w:val="zh-CN"/>
        </w:rPr>
        <w:t>递交报价文件时间、地点：</w:t>
      </w:r>
      <w:r>
        <w:rPr>
          <w:rFonts w:hint="eastAsia" w:ascii="仿宋_GB2312" w:hAnsi="仿宋_GB2312" w:eastAsia="仿宋_GB2312" w:cs="仿宋_GB2312"/>
          <w:color w:val="auto"/>
          <w:sz w:val="24"/>
          <w:highlight w:val="none"/>
          <w:lang w:val="zh-CN"/>
        </w:rPr>
        <w:t>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lang w:val="en-US" w:eastAsia="zh-CN"/>
        </w:rPr>
        <w:t>29</w:t>
      </w:r>
      <w:r>
        <w:rPr>
          <w:rFonts w:hint="eastAsia" w:ascii="仿宋_GB2312" w:hAnsi="仿宋_GB2312" w:eastAsia="仿宋_GB2312" w:cs="仿宋_GB2312"/>
          <w:color w:val="auto"/>
          <w:sz w:val="24"/>
          <w:highlight w:val="none"/>
          <w:lang w:val="zh-CN"/>
        </w:rPr>
        <w:t>日</w:t>
      </w:r>
      <w:r>
        <w:rPr>
          <w:rFonts w:hint="eastAsia" w:ascii="仿宋_GB2312" w:hAnsi="仿宋_GB2312" w:eastAsia="仿宋_GB2312" w:cs="仿宋_GB2312"/>
          <w:color w:val="auto"/>
          <w:sz w:val="24"/>
          <w:highlight w:val="none"/>
          <w:lang w:val="en-US" w:eastAsia="zh-CN"/>
        </w:rPr>
        <w:t>下</w:t>
      </w:r>
      <w:r>
        <w:rPr>
          <w:rFonts w:hint="eastAsia" w:ascii="仿宋_GB2312" w:hAnsi="仿宋_GB2312" w:eastAsia="仿宋_GB2312" w:cs="仿宋_GB2312"/>
          <w:color w:val="auto"/>
          <w:sz w:val="24"/>
          <w:highlight w:val="none"/>
          <w:lang w:val="zh-CN"/>
        </w:rPr>
        <w:t>午</w:t>
      </w:r>
      <w:r>
        <w:rPr>
          <w:rFonts w:hint="eastAsia" w:ascii="仿宋_GB2312" w:hAnsi="仿宋_GB2312" w:eastAsia="仿宋_GB2312" w:cs="仿宋_GB2312"/>
          <w:color w:val="auto"/>
          <w:sz w:val="24"/>
          <w:highlight w:val="none"/>
          <w:lang w:val="en-US" w:eastAsia="zh-CN"/>
        </w:rPr>
        <w:t>14</w:t>
      </w:r>
      <w:r>
        <w:rPr>
          <w:rFonts w:hint="eastAsia" w:ascii="仿宋_GB2312" w:hAnsi="仿宋_GB2312" w:eastAsia="仿宋_GB2312" w:cs="仿宋_GB2312"/>
          <w:color w:val="auto"/>
          <w:sz w:val="24"/>
          <w:highlight w:val="none"/>
          <w:lang w:val="zh-CN"/>
        </w:rPr>
        <w:t>:00--</w:t>
      </w:r>
      <w:r>
        <w:rPr>
          <w:rFonts w:hint="eastAsia" w:ascii="仿宋_GB2312" w:hAnsi="仿宋_GB2312" w:eastAsia="仿宋_GB2312" w:cs="仿宋_GB2312"/>
          <w:color w:val="auto"/>
          <w:sz w:val="24"/>
          <w:highlight w:val="none"/>
          <w:lang w:val="en-US" w:eastAsia="zh-CN"/>
        </w:rPr>
        <w:t>14</w:t>
      </w:r>
      <w:bookmarkStart w:id="9" w:name="_GoBack"/>
      <w:bookmarkEnd w:id="9"/>
      <w:r>
        <w:rPr>
          <w:rFonts w:hint="eastAsia" w:ascii="仿宋_GB2312" w:hAnsi="仿宋_GB2312" w:eastAsia="仿宋_GB2312" w:cs="仿宋_GB2312"/>
          <w:color w:val="auto"/>
          <w:sz w:val="24"/>
          <w:highlight w:val="none"/>
          <w:lang w:val="zh-CN"/>
        </w:rPr>
        <w:t>：30</w:t>
      </w:r>
      <w:r>
        <w:rPr>
          <w:rFonts w:hint="eastAsia" w:ascii="仿宋_GB2312" w:eastAsia="仿宋_GB2312"/>
          <w:b/>
          <w:color w:val="auto"/>
          <w:sz w:val="24"/>
          <w:highlight w:val="none"/>
          <w:lang w:val="zh-CN"/>
        </w:rPr>
        <w:t>，</w:t>
      </w:r>
      <w:r>
        <w:rPr>
          <w:rFonts w:hint="eastAsia" w:ascii="仿宋_GB2312" w:hAnsi="宋体" w:eastAsia="仿宋_GB2312"/>
          <w:b/>
          <w:color w:val="auto"/>
          <w:sz w:val="24"/>
        </w:rPr>
        <w:t>东莞市东城大道168号</w:t>
      </w:r>
      <w:r>
        <w:rPr>
          <w:rFonts w:hint="eastAsia" w:ascii="仿宋_GB2312" w:eastAsia="仿宋_GB2312"/>
          <w:color w:val="auto"/>
          <w:sz w:val="24"/>
          <w:lang w:val="zh-CN"/>
        </w:rPr>
        <w:t>（</w:t>
      </w:r>
      <w:r>
        <w:rPr>
          <w:rFonts w:hint="eastAsia" w:ascii="仿宋_GB2312" w:hAnsi="仿宋_GB2312" w:eastAsia="仿宋_GB2312" w:cs="仿宋_GB2312"/>
          <w:color w:val="auto"/>
          <w:sz w:val="24"/>
          <w:lang w:val="zh-CN"/>
        </w:rPr>
        <w:t>东莞市社会保险基金管理中心前楼三楼</w:t>
      </w:r>
      <w:r>
        <w:rPr>
          <w:rFonts w:hint="eastAsia" w:ascii="仿宋_GB2312" w:hAnsi="仿宋_GB2312" w:eastAsia="仿宋_GB2312" w:cs="仿宋_GB2312"/>
          <w:color w:val="auto"/>
          <w:sz w:val="24"/>
          <w:lang w:val="en-US" w:eastAsia="zh-CN"/>
        </w:rPr>
        <w:t>1号</w:t>
      </w:r>
      <w:r>
        <w:rPr>
          <w:rFonts w:hint="eastAsia" w:ascii="仿宋_GB2312" w:hAnsi="仿宋_GB2312" w:eastAsia="仿宋_GB2312" w:cs="仿宋_GB2312"/>
          <w:color w:val="auto"/>
          <w:sz w:val="24"/>
          <w:lang w:val="zh-CN"/>
        </w:rPr>
        <w:t>会议室</w:t>
      </w:r>
      <w:r>
        <w:rPr>
          <w:rFonts w:hint="eastAsia" w:ascii="仿宋_GB2312" w:eastAsia="仿宋_GB2312"/>
          <w:color w:val="auto"/>
          <w:sz w:val="24"/>
          <w:lang w:val="zh-CN"/>
        </w:rPr>
        <w:t>）。</w:t>
      </w:r>
    </w:p>
    <w:p w14:paraId="66B93AFD">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报价文件应于议价比价规定的截止时间之前密封送达</w:t>
      </w:r>
      <w:r>
        <w:rPr>
          <w:rFonts w:hint="eastAsia" w:ascii="仿宋_GB2312" w:hAnsi="仿宋_GB2312" w:eastAsia="仿宋_GB2312" w:cs="仿宋_GB2312"/>
          <w:color w:val="auto"/>
          <w:sz w:val="24"/>
          <w:lang w:val="zh-CN"/>
        </w:rPr>
        <w:t>东莞市社会保险基金管理中心前楼三楼</w:t>
      </w:r>
      <w:r>
        <w:rPr>
          <w:rFonts w:hint="eastAsia" w:ascii="仿宋_GB2312" w:hAnsi="仿宋_GB2312" w:eastAsia="仿宋_GB2312" w:cs="仿宋_GB2312"/>
          <w:color w:val="auto"/>
          <w:sz w:val="24"/>
          <w:lang w:val="en-US" w:eastAsia="zh-CN"/>
        </w:rPr>
        <w:t>1号</w:t>
      </w:r>
      <w:r>
        <w:rPr>
          <w:rFonts w:hint="eastAsia" w:ascii="仿宋_GB2312" w:hAnsi="仿宋_GB2312" w:eastAsia="仿宋_GB2312" w:cs="仿宋_GB2312"/>
          <w:color w:val="auto"/>
          <w:sz w:val="24"/>
          <w:lang w:val="zh-CN"/>
        </w:rPr>
        <w:t>会议室</w:t>
      </w:r>
      <w:r>
        <w:rPr>
          <w:rFonts w:hint="eastAsia" w:ascii="仿宋_GB2312" w:eastAsia="仿宋_GB2312"/>
          <w:color w:val="auto"/>
          <w:sz w:val="24"/>
          <w:lang w:val="zh-CN"/>
        </w:rPr>
        <w:t>。在议价比价采购文件要求提交</w:t>
      </w:r>
      <w:r>
        <w:rPr>
          <w:rFonts w:hint="eastAsia" w:ascii="仿宋_GB2312" w:eastAsia="仿宋_GB2312"/>
          <w:color w:val="auto"/>
          <w:kern w:val="0"/>
          <w:sz w:val="24"/>
          <w:lang w:val="zh-CN"/>
        </w:rPr>
        <w:t>报价文件的截止时间后送达的报价文件，将拒收。</w:t>
      </w:r>
    </w:p>
    <w:p w14:paraId="62228DCC">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2</w:t>
      </w:r>
      <w:r>
        <w:rPr>
          <w:rFonts w:hint="eastAsia" w:ascii="仿宋_GB2312" w:eastAsia="仿宋_GB2312"/>
          <w:color w:val="auto"/>
          <w:sz w:val="24"/>
        </w:rPr>
        <w:t>.</w:t>
      </w:r>
      <w:r>
        <w:rPr>
          <w:rFonts w:hint="eastAsia" w:ascii="仿宋_GB2312" w:eastAsia="仿宋_GB2312"/>
          <w:color w:val="auto"/>
          <w:sz w:val="24"/>
          <w:lang w:val="zh-CN"/>
        </w:rPr>
        <w:t>报价文件需提供正本一份、副本一份（加盖公章）。</w:t>
      </w:r>
    </w:p>
    <w:p w14:paraId="31ADCC27">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3</w:t>
      </w:r>
      <w:r>
        <w:rPr>
          <w:rFonts w:hint="eastAsia" w:ascii="仿宋_GB2312" w:eastAsia="仿宋_GB2312"/>
          <w:color w:val="auto"/>
          <w:sz w:val="24"/>
        </w:rPr>
        <w:t>.</w:t>
      </w:r>
      <w:r>
        <w:rPr>
          <w:rFonts w:hint="eastAsia" w:ascii="仿宋_GB2312" w:eastAsia="仿宋_GB2312"/>
          <w:color w:val="auto"/>
          <w:sz w:val="24"/>
          <w:lang w:val="zh-CN"/>
        </w:rPr>
        <w:t>报价文件应装入封袋，封面注明项目编号、项目名称、供应商名称、地址、电话等。</w:t>
      </w:r>
    </w:p>
    <w:p w14:paraId="49A1FED7">
      <w:pPr>
        <w:autoSpaceDE w:val="0"/>
        <w:autoSpaceDN w:val="0"/>
        <w:adjustRightInd w:val="0"/>
        <w:spacing w:line="360" w:lineRule="auto"/>
        <w:ind w:firstLine="420"/>
        <w:rPr>
          <w:rFonts w:ascii="仿宋_GB2312" w:eastAsia="仿宋_GB2312"/>
          <w:b/>
          <w:color w:val="auto"/>
          <w:sz w:val="24"/>
          <w:lang w:val="zh-CN"/>
        </w:rPr>
      </w:pPr>
      <w:r>
        <w:rPr>
          <w:rFonts w:hint="eastAsia" w:ascii="仿宋_GB2312" w:eastAsia="仿宋_GB2312"/>
          <w:b/>
          <w:color w:val="auto"/>
          <w:sz w:val="24"/>
          <w:lang w:val="zh-CN"/>
        </w:rPr>
        <w:t>（五）议价比价采购文件的修改</w:t>
      </w:r>
    </w:p>
    <w:p w14:paraId="49FB0B4A">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采购人在规定的截止时间前，可以对议价比价采购文件进行修改，并发表公告，请供应商予以关注。</w:t>
      </w:r>
    </w:p>
    <w:p w14:paraId="2F6A1F9E">
      <w:pPr>
        <w:autoSpaceDE w:val="0"/>
        <w:autoSpaceDN w:val="0"/>
        <w:adjustRightInd w:val="0"/>
        <w:spacing w:line="360" w:lineRule="auto"/>
        <w:ind w:firstLine="420"/>
        <w:rPr>
          <w:rFonts w:ascii="仿宋_GB2312" w:eastAsia="仿宋_GB2312"/>
          <w:b/>
          <w:color w:val="auto"/>
          <w:sz w:val="24"/>
          <w:lang w:val="zh-CN"/>
        </w:rPr>
      </w:pPr>
      <w:r>
        <w:rPr>
          <w:rFonts w:hint="eastAsia" w:ascii="仿宋_GB2312" w:eastAsia="仿宋_GB2312"/>
          <w:b/>
          <w:color w:val="auto"/>
          <w:sz w:val="24"/>
          <w:lang w:val="zh-CN"/>
        </w:rPr>
        <w:t>（六）报价文件的补充、修改或者撤回</w:t>
      </w:r>
    </w:p>
    <w:p w14:paraId="3CA17C97">
      <w:pPr>
        <w:autoSpaceDE w:val="0"/>
        <w:autoSpaceDN w:val="0"/>
        <w:adjustRightInd w:val="0"/>
        <w:spacing w:line="360" w:lineRule="auto"/>
        <w:ind w:firstLine="420"/>
        <w:rPr>
          <w:rFonts w:ascii="仿宋_GB2312" w:eastAsia="仿宋_GB2312"/>
          <w:color w:val="auto"/>
          <w:kern w:val="0"/>
          <w:sz w:val="24"/>
          <w:lang w:val="zh-CN"/>
        </w:rPr>
      </w:pPr>
      <w:r>
        <w:rPr>
          <w:rFonts w:hint="eastAsia" w:ascii="仿宋_GB2312" w:eastAsia="仿宋_GB2312"/>
          <w:color w:val="auto"/>
          <w:sz w:val="24"/>
          <w:lang w:val="zh-CN"/>
        </w:rPr>
        <w:t>供应商在规定的截止时间前，可以对所递交的报价文件进行补充、修改或者撤回，并书面通知采购人。</w:t>
      </w:r>
      <w:r>
        <w:rPr>
          <w:rFonts w:hint="eastAsia" w:ascii="仿宋_GB2312" w:eastAsia="仿宋_GB2312"/>
          <w:color w:val="auto"/>
          <w:kern w:val="0"/>
          <w:sz w:val="24"/>
          <w:lang w:val="zh-CN"/>
        </w:rPr>
        <w:t>补充、修改的内容为报价文件的组成部分。</w:t>
      </w:r>
    </w:p>
    <w:p w14:paraId="771E880F">
      <w:pPr>
        <w:autoSpaceDE w:val="0"/>
        <w:autoSpaceDN w:val="0"/>
        <w:adjustRightInd w:val="0"/>
        <w:spacing w:line="360" w:lineRule="auto"/>
        <w:ind w:firstLine="420"/>
        <w:rPr>
          <w:rFonts w:ascii="仿宋_GB2312" w:hAnsi="宋体" w:eastAsia="仿宋_GB2312"/>
          <w:color w:val="auto"/>
          <w:kern w:val="10"/>
          <w:sz w:val="24"/>
        </w:rPr>
      </w:pPr>
      <w:r>
        <w:rPr>
          <w:rFonts w:hint="eastAsia" w:ascii="仿宋_GB2312" w:eastAsia="仿宋_GB2312"/>
          <w:b/>
          <w:color w:val="auto"/>
          <w:sz w:val="24"/>
          <w:lang w:val="zh-CN"/>
        </w:rPr>
        <w:t>（七）议价比价保证金：</w:t>
      </w:r>
      <w:r>
        <w:rPr>
          <w:rFonts w:hint="eastAsia" w:ascii="仿宋_GB2312" w:eastAsia="仿宋_GB2312"/>
          <w:color w:val="auto"/>
          <w:kern w:val="0"/>
          <w:sz w:val="24"/>
          <w:lang w:val="zh-CN"/>
        </w:rPr>
        <w:t>本项目不收取保</w:t>
      </w:r>
      <w:r>
        <w:rPr>
          <w:rFonts w:hint="eastAsia" w:ascii="仿宋_GB2312" w:eastAsia="仿宋_GB2312"/>
          <w:color w:val="auto"/>
          <w:sz w:val="24"/>
          <w:lang w:val="zh-CN"/>
        </w:rPr>
        <w:t>证金。</w:t>
      </w:r>
    </w:p>
    <w:p w14:paraId="7C5D88AB">
      <w:pPr>
        <w:autoSpaceDE w:val="0"/>
        <w:autoSpaceDN w:val="0"/>
        <w:adjustRightInd w:val="0"/>
        <w:spacing w:line="360" w:lineRule="auto"/>
        <w:ind w:firstLine="420"/>
        <w:rPr>
          <w:rFonts w:ascii="仿宋_GB2312" w:eastAsia="仿宋_GB2312"/>
          <w:b/>
          <w:color w:val="auto"/>
          <w:sz w:val="24"/>
          <w:lang w:val="zh-CN"/>
        </w:rPr>
      </w:pPr>
      <w:r>
        <w:rPr>
          <w:rFonts w:hint="eastAsia" w:ascii="仿宋_GB2312" w:eastAsia="仿宋_GB2312"/>
          <w:b/>
          <w:color w:val="auto"/>
          <w:sz w:val="24"/>
          <w:lang w:val="zh-CN"/>
        </w:rPr>
        <w:t>（八）议价比价程序：</w:t>
      </w:r>
    </w:p>
    <w:p w14:paraId="20B485F1">
      <w:pPr>
        <w:tabs>
          <w:tab w:val="left" w:pos="720"/>
          <w:tab w:val="left" w:pos="851"/>
          <w:tab w:val="left" w:pos="907"/>
        </w:tabs>
        <w:spacing w:line="360" w:lineRule="auto"/>
        <w:ind w:firstLine="480" w:firstLineChars="200"/>
        <w:rPr>
          <w:rStyle w:val="40"/>
          <w:rFonts w:ascii="仿宋_GB2312" w:eastAsia="仿宋_GB2312"/>
          <w:color w:val="auto"/>
          <w:sz w:val="24"/>
        </w:rPr>
      </w:pPr>
      <w:bookmarkStart w:id="8" w:name="_Toc482108665"/>
      <w:r>
        <w:rPr>
          <w:rStyle w:val="40"/>
          <w:rFonts w:hint="eastAsia" w:ascii="仿宋_GB2312" w:eastAsia="仿宋_GB2312"/>
          <w:color w:val="auto"/>
          <w:sz w:val="24"/>
        </w:rPr>
        <w:t>1.</w:t>
      </w:r>
      <w:r>
        <w:rPr>
          <w:rStyle w:val="40"/>
          <w:rFonts w:ascii="仿宋_GB2312" w:eastAsia="仿宋_GB2312"/>
          <w:color w:val="auto"/>
          <w:sz w:val="24"/>
        </w:rPr>
        <w:t>评标委员会</w:t>
      </w:r>
      <w:r>
        <w:rPr>
          <w:rStyle w:val="40"/>
          <w:rFonts w:hint="eastAsia" w:ascii="仿宋_GB2312" w:eastAsia="仿宋_GB2312"/>
          <w:color w:val="auto"/>
          <w:sz w:val="24"/>
        </w:rPr>
        <w:t>。本次招标由</w:t>
      </w:r>
      <w:r>
        <w:rPr>
          <w:rFonts w:hint="eastAsia" w:ascii="仿宋_GB2312" w:eastAsia="仿宋_GB2312"/>
          <w:color w:val="auto"/>
          <w:sz w:val="24"/>
          <w:lang w:val="zh-CN"/>
        </w:rPr>
        <w:t>东莞市社会保险基金管理中心</w:t>
      </w:r>
      <w:r>
        <w:rPr>
          <w:rStyle w:val="40"/>
          <w:rFonts w:hint="eastAsia" w:ascii="仿宋_GB2312" w:eastAsia="仿宋_GB2312"/>
          <w:color w:val="auto"/>
          <w:sz w:val="24"/>
        </w:rPr>
        <w:t>组建评标委员会。评标委员会将按照招标文件确定的评标方法进行评审。对招标文件中描述有</w:t>
      </w:r>
      <w:r>
        <w:rPr>
          <w:rStyle w:val="40"/>
          <w:rFonts w:ascii="仿宋_GB2312" w:eastAsia="仿宋_GB2312"/>
          <w:color w:val="auto"/>
          <w:sz w:val="24"/>
        </w:rPr>
        <w:t>歧义</w:t>
      </w:r>
      <w:r>
        <w:rPr>
          <w:rStyle w:val="40"/>
          <w:rFonts w:hint="eastAsia" w:ascii="仿宋_GB2312" w:eastAsia="仿宋_GB2312"/>
          <w:color w:val="auto"/>
          <w:sz w:val="24"/>
        </w:rPr>
        <w:t>或前后不一致的地方，评标委员会有权按法律、法规的规定进行评判，但对同一条款的评判应适用于各投标人。</w:t>
      </w:r>
    </w:p>
    <w:p w14:paraId="59C97C1E">
      <w:pPr>
        <w:autoSpaceDE w:val="0"/>
        <w:autoSpaceDN w:val="0"/>
        <w:adjustRightInd w:val="0"/>
        <w:spacing w:line="360" w:lineRule="auto"/>
        <w:ind w:firstLine="420"/>
        <w:rPr>
          <w:rStyle w:val="40"/>
          <w:rFonts w:ascii="仿宋_GB2312" w:eastAsia="仿宋_GB2312"/>
          <w:color w:val="auto"/>
          <w:sz w:val="24"/>
          <w:szCs w:val="24"/>
          <w:lang w:val="zh-CN"/>
        </w:rPr>
      </w:pPr>
      <w:r>
        <w:rPr>
          <w:rStyle w:val="40"/>
          <w:rFonts w:hint="eastAsia" w:ascii="仿宋_GB2312" w:eastAsia="仿宋_GB2312"/>
          <w:color w:val="auto"/>
          <w:sz w:val="24"/>
        </w:rPr>
        <w:t>2.</w:t>
      </w:r>
      <w:r>
        <w:rPr>
          <w:rFonts w:hint="eastAsia" w:ascii="仿宋_GB2312" w:eastAsia="仿宋_GB2312"/>
          <w:color w:val="auto"/>
          <w:sz w:val="24"/>
          <w:lang w:val="zh-CN"/>
        </w:rPr>
        <w:t>议价比价开始后，递交报价文件或符合项目资格条件的合格供应商不足三家时，采购人将另行组织采购。</w:t>
      </w:r>
    </w:p>
    <w:p w14:paraId="2BA1AC66">
      <w:pPr>
        <w:tabs>
          <w:tab w:val="left" w:pos="900"/>
          <w:tab w:val="left" w:pos="1759"/>
        </w:tabs>
        <w:spacing w:line="360" w:lineRule="auto"/>
        <w:ind w:firstLine="480" w:firstLineChars="200"/>
        <w:rPr>
          <w:rStyle w:val="40"/>
          <w:rFonts w:ascii="仿宋_GB2312" w:eastAsia="仿宋_GB2312"/>
          <w:color w:val="auto"/>
          <w:sz w:val="24"/>
        </w:rPr>
      </w:pPr>
      <w:r>
        <w:rPr>
          <w:rStyle w:val="40"/>
          <w:rFonts w:hint="eastAsia" w:ascii="仿宋_GB2312" w:eastAsia="仿宋_GB2312"/>
          <w:color w:val="auto"/>
          <w:sz w:val="24"/>
        </w:rPr>
        <w:t>3.</w:t>
      </w:r>
      <w:r>
        <w:rPr>
          <w:rStyle w:val="40"/>
          <w:rFonts w:ascii="仿宋_GB2312" w:eastAsia="仿宋_GB2312"/>
          <w:color w:val="auto"/>
          <w:sz w:val="24"/>
        </w:rPr>
        <w:t>评标方法</w:t>
      </w:r>
      <w:bookmarkEnd w:id="8"/>
      <w:r>
        <w:rPr>
          <w:rStyle w:val="40"/>
          <w:rFonts w:hint="eastAsia" w:ascii="仿宋_GB2312" w:eastAsia="仿宋_GB2312"/>
          <w:color w:val="auto"/>
          <w:sz w:val="24"/>
        </w:rPr>
        <w:t>。本次招标的评标方法采用综合评分方法；</w:t>
      </w:r>
      <w:r>
        <w:rPr>
          <w:rStyle w:val="40"/>
          <w:rFonts w:ascii="仿宋_GB2312" w:eastAsia="仿宋_GB2312"/>
          <w:color w:val="auto"/>
          <w:sz w:val="24"/>
        </w:rPr>
        <w:t>权重分配为：商务</w:t>
      </w:r>
      <w:r>
        <w:rPr>
          <w:rStyle w:val="40"/>
          <w:rFonts w:hint="eastAsia" w:ascii="仿宋_GB2312" w:eastAsia="仿宋_GB2312"/>
          <w:color w:val="auto"/>
          <w:sz w:val="24"/>
        </w:rPr>
        <w:t>技术</w:t>
      </w:r>
      <w:r>
        <w:rPr>
          <w:rStyle w:val="40"/>
          <w:rFonts w:ascii="仿宋_GB2312" w:eastAsia="仿宋_GB2312"/>
          <w:color w:val="auto"/>
          <w:sz w:val="24"/>
        </w:rPr>
        <w:t>部分权重为</w:t>
      </w:r>
      <w:r>
        <w:rPr>
          <w:rStyle w:val="40"/>
          <w:rFonts w:hint="eastAsia" w:ascii="仿宋_GB2312" w:eastAsia="仿宋_GB2312"/>
          <w:color w:val="auto"/>
          <w:sz w:val="24"/>
        </w:rPr>
        <w:t>8</w:t>
      </w:r>
      <w:r>
        <w:rPr>
          <w:rStyle w:val="40"/>
          <w:rFonts w:hint="eastAsia" w:ascii="仿宋_GB2312" w:eastAsia="仿宋_GB2312"/>
          <w:color w:val="auto"/>
          <w:sz w:val="24"/>
          <w:lang w:val="en-US" w:eastAsia="zh-CN"/>
        </w:rPr>
        <w:t>0</w:t>
      </w:r>
      <w:r>
        <w:rPr>
          <w:rStyle w:val="40"/>
          <w:rFonts w:ascii="仿宋_GB2312" w:eastAsia="仿宋_GB2312"/>
          <w:color w:val="auto"/>
          <w:sz w:val="24"/>
        </w:rPr>
        <w:t>%，价格部分权重为</w:t>
      </w:r>
      <w:r>
        <w:rPr>
          <w:rStyle w:val="40"/>
          <w:rFonts w:hint="eastAsia" w:ascii="仿宋_GB2312" w:eastAsia="仿宋_GB2312"/>
          <w:color w:val="auto"/>
          <w:sz w:val="24"/>
          <w:lang w:val="en-US" w:eastAsia="zh-CN"/>
        </w:rPr>
        <w:t>20</w:t>
      </w:r>
      <w:r>
        <w:rPr>
          <w:rStyle w:val="40"/>
          <w:rFonts w:ascii="仿宋_GB2312" w:eastAsia="仿宋_GB2312"/>
          <w:color w:val="auto"/>
          <w:sz w:val="24"/>
        </w:rPr>
        <w:t>%。</w:t>
      </w:r>
      <w:r>
        <w:rPr>
          <w:rStyle w:val="40"/>
          <w:rFonts w:hint="eastAsia" w:ascii="仿宋_GB2312" w:eastAsia="仿宋_GB2312"/>
          <w:color w:val="auto"/>
          <w:sz w:val="24"/>
        </w:rPr>
        <w:t>评标委员会以招标文件为依据按照评标程序，就每个投标人的商务状况、技术状况及其对招标文件要求的响应情况进行评议和比较，独立评出各投标人的商务技术得分。各评委的评分算术平均值即为该投标人的商务技术得分；然后，评出价格得分；最后，将商务技术得分和价格得分汇总得出综合得分（评标总得分分值按四舍五入原则精确到小数点后两位）。</w:t>
      </w:r>
    </w:p>
    <w:p w14:paraId="19C9E2D8">
      <w:pPr>
        <w:spacing w:line="360" w:lineRule="auto"/>
        <w:jc w:val="center"/>
        <w:rPr>
          <w:rStyle w:val="40"/>
          <w:rFonts w:ascii="仿宋_GB2312" w:eastAsia="仿宋_GB2312"/>
          <w:color w:val="auto"/>
          <w:sz w:val="24"/>
        </w:rPr>
      </w:pPr>
      <w:r>
        <w:rPr>
          <w:rStyle w:val="40"/>
          <w:rFonts w:ascii="仿宋_GB2312" w:eastAsia="仿宋_GB2312"/>
          <w:color w:val="auto"/>
          <w:sz w:val="24"/>
        </w:rPr>
        <w:t>综合得分＝价格得分+商务</w:t>
      </w:r>
      <w:r>
        <w:rPr>
          <w:rStyle w:val="40"/>
          <w:rFonts w:hint="eastAsia" w:ascii="仿宋_GB2312" w:eastAsia="仿宋_GB2312"/>
          <w:color w:val="auto"/>
          <w:sz w:val="24"/>
        </w:rPr>
        <w:t>技术</w:t>
      </w:r>
      <w:r>
        <w:rPr>
          <w:rStyle w:val="40"/>
          <w:rFonts w:ascii="仿宋_GB2312" w:eastAsia="仿宋_GB2312"/>
          <w:color w:val="auto"/>
          <w:sz w:val="24"/>
        </w:rPr>
        <w:t>得分；</w:t>
      </w:r>
    </w:p>
    <w:p w14:paraId="66FE22AC">
      <w:pPr>
        <w:spacing w:line="360" w:lineRule="auto"/>
        <w:jc w:val="left"/>
        <w:rPr>
          <w:rStyle w:val="40"/>
          <w:color w:val="auto"/>
          <w:sz w:val="24"/>
        </w:rPr>
      </w:pPr>
      <w:r>
        <w:rPr>
          <w:rStyle w:val="40"/>
          <w:rFonts w:ascii="仿宋_GB2312" w:eastAsia="仿宋_GB2312"/>
          <w:color w:val="auto"/>
          <w:sz w:val="24"/>
        </w:rPr>
        <w:t>评标委员会决定投标文件的响应情况只根据投标文件本身的内容，而不寻求外部的证据。</w:t>
      </w:r>
    </w:p>
    <w:p w14:paraId="38898ECC">
      <w:pPr>
        <w:autoSpaceDE w:val="0"/>
        <w:autoSpaceDN w:val="0"/>
        <w:adjustRightInd w:val="0"/>
        <w:spacing w:line="360" w:lineRule="auto"/>
        <w:ind w:firstLine="420"/>
        <w:rPr>
          <w:rStyle w:val="40"/>
          <w:rFonts w:ascii="仿宋_GB2312" w:eastAsia="仿宋_GB2312"/>
          <w:color w:val="auto"/>
          <w:sz w:val="24"/>
        </w:rPr>
      </w:pPr>
      <w:r>
        <w:rPr>
          <w:rStyle w:val="40"/>
          <w:rFonts w:hint="eastAsia" w:ascii="仿宋_GB2312" w:eastAsia="仿宋_GB2312"/>
          <w:color w:val="auto"/>
          <w:sz w:val="24"/>
        </w:rPr>
        <w:t>4.议价比价结束后，议价比价小组对投标人的综合得分、服务承诺和对需求的响应情况进行综合比较，择优推荐协议供货商，并将结果通知所有被议价比价的未成交的供应商；</w:t>
      </w:r>
    </w:p>
    <w:p w14:paraId="5C7C0D23">
      <w:pPr>
        <w:autoSpaceDE w:val="0"/>
        <w:autoSpaceDN w:val="0"/>
        <w:adjustRightInd w:val="0"/>
        <w:spacing w:line="360" w:lineRule="auto"/>
        <w:ind w:firstLine="420"/>
        <w:rPr>
          <w:rStyle w:val="40"/>
          <w:rFonts w:ascii="仿宋_GB2312" w:eastAsia="仿宋_GB2312"/>
          <w:color w:val="auto"/>
          <w:sz w:val="24"/>
        </w:rPr>
      </w:pPr>
      <w:r>
        <w:rPr>
          <w:rStyle w:val="40"/>
          <w:rFonts w:hint="eastAsia" w:ascii="仿宋_GB2312" w:eastAsia="仿宋_GB2312"/>
          <w:color w:val="auto"/>
          <w:sz w:val="24"/>
        </w:rPr>
        <w:t>5.议价比价小组将与成交供应商针对价格、服务进行二次谈判，以最终商定的价格为中标价格。</w:t>
      </w:r>
    </w:p>
    <w:p w14:paraId="5874D0FE">
      <w:pPr>
        <w:autoSpaceDE w:val="0"/>
        <w:autoSpaceDN w:val="0"/>
        <w:adjustRightInd w:val="0"/>
        <w:spacing w:line="360" w:lineRule="auto"/>
        <w:ind w:firstLine="420"/>
        <w:rPr>
          <w:rStyle w:val="40"/>
          <w:rFonts w:ascii="仿宋_GB2312" w:hAnsi="宋体" w:eastAsia="仿宋_GB2312"/>
          <w:b/>
          <w:color w:val="auto"/>
          <w:sz w:val="24"/>
          <w:szCs w:val="24"/>
          <w:highlight w:val="yellow"/>
        </w:rPr>
      </w:pPr>
      <w:r>
        <w:rPr>
          <w:rFonts w:hint="eastAsia" w:ascii="仿宋_GB2312" w:eastAsia="仿宋_GB2312"/>
          <w:b/>
          <w:color w:val="auto"/>
          <w:sz w:val="24"/>
          <w:lang w:val="zh-CN"/>
        </w:rPr>
        <w:t>（九）</w:t>
      </w:r>
      <w:r>
        <w:rPr>
          <w:rFonts w:hint="eastAsia" w:ascii="仿宋_GB2312" w:hAnsi="宋体" w:eastAsia="仿宋_GB2312"/>
          <w:b/>
          <w:color w:val="auto"/>
          <w:sz w:val="24"/>
        </w:rPr>
        <w:t>付款方式</w:t>
      </w:r>
    </w:p>
    <w:p w14:paraId="25DC7A90">
      <w:pPr>
        <w:pStyle w:val="2"/>
        <w:spacing w:before="0" w:after="0" w:line="606" w:lineRule="exact"/>
        <w:ind w:firstLine="480" w:firstLineChars="200"/>
        <w:jc w:val="both"/>
        <w:rPr>
          <w:rFonts w:hint="eastAsia" w:ascii="仿宋_GB2312" w:hAnsi="仿宋_GB2312" w:eastAsia="仿宋_GB2312" w:cs="仿宋_GB2312"/>
          <w:bCs/>
          <w:color w:val="auto"/>
          <w:kern w:val="2"/>
          <w:sz w:val="24"/>
          <w:szCs w:val="24"/>
          <w:lang w:val="zh-CN" w:eastAsia="zh-CN" w:bidi="ar-SA"/>
        </w:rPr>
      </w:pPr>
      <w:r>
        <w:rPr>
          <w:rFonts w:hint="eastAsia" w:ascii="仿宋_GB2312" w:hAnsi="仿宋_GB2312" w:eastAsia="仿宋_GB2312" w:cs="仿宋_GB2312"/>
          <w:bCs/>
          <w:color w:val="auto"/>
          <w:kern w:val="2"/>
          <w:sz w:val="24"/>
          <w:szCs w:val="24"/>
          <w:lang w:val="zh-CN" w:eastAsia="zh-CN" w:bidi="ar-SA"/>
        </w:rPr>
        <w:t>协议签订后，采购人向中标人支付中标总价的</w:t>
      </w:r>
      <w:r>
        <w:rPr>
          <w:rFonts w:hint="eastAsia" w:ascii="仿宋_GB2312" w:hAnsi="仿宋_GB2312" w:eastAsia="仿宋_GB2312" w:cs="仿宋_GB2312"/>
          <w:bCs/>
          <w:color w:val="auto"/>
          <w:kern w:val="2"/>
          <w:sz w:val="24"/>
          <w:szCs w:val="24"/>
          <w:lang w:val="en-US" w:eastAsia="zh-CN" w:bidi="ar-SA"/>
        </w:rPr>
        <w:t>5</w:t>
      </w:r>
      <w:r>
        <w:rPr>
          <w:rFonts w:hint="eastAsia" w:ascii="仿宋_GB2312" w:hAnsi="仿宋_GB2312" w:eastAsia="仿宋_GB2312" w:cs="仿宋_GB2312"/>
          <w:bCs/>
          <w:color w:val="auto"/>
          <w:kern w:val="2"/>
          <w:sz w:val="24"/>
          <w:szCs w:val="24"/>
          <w:lang w:val="zh-CN" w:eastAsia="zh-CN" w:bidi="ar-SA"/>
        </w:rPr>
        <w:t>0%；中标人完成检查提交书面报告并通过项目验收后十五个工作日内，采购人向中标人支付中标总价的</w:t>
      </w:r>
      <w:r>
        <w:rPr>
          <w:rFonts w:hint="eastAsia" w:ascii="仿宋_GB2312" w:hAnsi="仿宋_GB2312" w:eastAsia="仿宋_GB2312" w:cs="仿宋_GB2312"/>
          <w:bCs/>
          <w:color w:val="auto"/>
          <w:kern w:val="2"/>
          <w:sz w:val="24"/>
          <w:szCs w:val="24"/>
          <w:lang w:val="en-US" w:eastAsia="zh-CN" w:bidi="ar-SA"/>
        </w:rPr>
        <w:t>5</w:t>
      </w:r>
      <w:r>
        <w:rPr>
          <w:rFonts w:hint="eastAsia" w:ascii="仿宋_GB2312" w:hAnsi="仿宋_GB2312" w:eastAsia="仿宋_GB2312" w:cs="仿宋_GB2312"/>
          <w:bCs/>
          <w:color w:val="auto"/>
          <w:kern w:val="2"/>
          <w:sz w:val="24"/>
          <w:szCs w:val="24"/>
          <w:lang w:val="zh-CN" w:eastAsia="zh-CN" w:bidi="ar-SA"/>
        </w:rPr>
        <w:t>0%。</w:t>
      </w:r>
    </w:p>
    <w:p w14:paraId="72C0C56D">
      <w:pPr>
        <w:autoSpaceDE w:val="0"/>
        <w:autoSpaceDN w:val="0"/>
        <w:adjustRightInd w:val="0"/>
        <w:spacing w:line="360" w:lineRule="auto"/>
        <w:ind w:firstLine="420"/>
        <w:rPr>
          <w:rFonts w:ascii="仿宋_GB2312" w:eastAsia="仿宋_GB2312"/>
          <w:b/>
          <w:color w:val="auto"/>
          <w:sz w:val="24"/>
          <w:lang w:val="zh-CN"/>
        </w:rPr>
      </w:pPr>
      <w:r>
        <w:rPr>
          <w:rFonts w:hint="eastAsia" w:ascii="仿宋_GB2312" w:eastAsia="仿宋_GB2312"/>
          <w:b/>
          <w:color w:val="auto"/>
          <w:sz w:val="24"/>
          <w:lang w:val="zh-CN"/>
        </w:rPr>
        <w:t>（十）签订合同</w:t>
      </w:r>
    </w:p>
    <w:p w14:paraId="5949E5B6">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1</w:t>
      </w:r>
      <w:r>
        <w:rPr>
          <w:rFonts w:hint="eastAsia" w:ascii="仿宋_GB2312" w:eastAsia="仿宋_GB2312"/>
          <w:color w:val="auto"/>
          <w:sz w:val="24"/>
        </w:rPr>
        <w:t>.</w:t>
      </w:r>
      <w:r>
        <w:rPr>
          <w:rFonts w:hint="eastAsia" w:ascii="仿宋_GB2312" w:eastAsia="仿宋_GB2312"/>
          <w:color w:val="auto"/>
          <w:sz w:val="24"/>
          <w:lang w:val="zh-CN"/>
        </w:rPr>
        <w:t>采购人向成交供应商发出成交通告。</w:t>
      </w:r>
    </w:p>
    <w:p w14:paraId="3F34BC27">
      <w:pPr>
        <w:autoSpaceDE w:val="0"/>
        <w:autoSpaceDN w:val="0"/>
        <w:adjustRightInd w:val="0"/>
        <w:spacing w:line="360" w:lineRule="auto"/>
        <w:ind w:firstLine="407"/>
        <w:rPr>
          <w:rFonts w:ascii="仿宋_GB2312" w:eastAsia="仿宋_GB2312"/>
          <w:color w:val="auto"/>
          <w:sz w:val="24"/>
          <w:lang w:val="zh-CN"/>
        </w:rPr>
      </w:pPr>
      <w:r>
        <w:rPr>
          <w:rFonts w:hint="eastAsia" w:ascii="仿宋_GB2312" w:eastAsia="仿宋_GB2312"/>
          <w:color w:val="auto"/>
          <w:sz w:val="24"/>
          <w:lang w:val="zh-CN"/>
        </w:rPr>
        <w:t>2</w:t>
      </w:r>
      <w:r>
        <w:rPr>
          <w:rFonts w:hint="eastAsia" w:ascii="仿宋_GB2312" w:eastAsia="仿宋_GB2312"/>
          <w:color w:val="auto"/>
          <w:sz w:val="24"/>
        </w:rPr>
        <w:t>.</w:t>
      </w:r>
      <w:r>
        <w:rPr>
          <w:rFonts w:hint="eastAsia" w:ascii="仿宋_GB2312" w:eastAsia="仿宋_GB2312"/>
          <w:color w:val="auto"/>
          <w:sz w:val="24"/>
          <w:lang w:val="zh-CN"/>
        </w:rPr>
        <w:t>成交供应商应按成交通告规定的时间、地点与采购人签订采购合同。</w:t>
      </w:r>
    </w:p>
    <w:p w14:paraId="2D947744">
      <w:pPr>
        <w:autoSpaceDE w:val="0"/>
        <w:autoSpaceDN w:val="0"/>
        <w:adjustRightInd w:val="0"/>
        <w:spacing w:line="360" w:lineRule="auto"/>
        <w:ind w:firstLine="407"/>
        <w:rPr>
          <w:rFonts w:ascii="仿宋_GB2312" w:eastAsia="仿宋_GB2312"/>
          <w:color w:val="auto"/>
          <w:sz w:val="24"/>
          <w:lang w:val="zh-CN"/>
        </w:rPr>
      </w:pPr>
      <w:r>
        <w:rPr>
          <w:rFonts w:hint="eastAsia" w:ascii="仿宋_GB2312" w:eastAsia="仿宋_GB2312"/>
          <w:color w:val="auto"/>
          <w:sz w:val="24"/>
          <w:lang w:val="zh-CN"/>
        </w:rPr>
        <w:t>3</w:t>
      </w:r>
      <w:r>
        <w:rPr>
          <w:rFonts w:hint="eastAsia" w:ascii="仿宋_GB2312" w:eastAsia="仿宋_GB2312"/>
          <w:color w:val="auto"/>
          <w:sz w:val="24"/>
        </w:rPr>
        <w:t>.</w:t>
      </w:r>
      <w:r>
        <w:rPr>
          <w:rFonts w:hint="eastAsia" w:ascii="仿宋_GB2312" w:eastAsia="仿宋_GB2312"/>
          <w:color w:val="auto"/>
          <w:sz w:val="24"/>
          <w:lang w:val="zh-CN"/>
        </w:rPr>
        <w:t>成交供应商因不可抗力或者自身原因不能履行采购合同的，采购人可以与排位在成交供应商之后第一位的成交候选供应商签订政府采购合同，以此类推。</w:t>
      </w:r>
    </w:p>
    <w:p w14:paraId="5D2D8E8D">
      <w:pPr>
        <w:autoSpaceDE w:val="0"/>
        <w:autoSpaceDN w:val="0"/>
        <w:adjustRightInd w:val="0"/>
        <w:spacing w:line="360" w:lineRule="auto"/>
        <w:ind w:firstLine="420"/>
        <w:rPr>
          <w:rFonts w:ascii="仿宋_GB2312" w:eastAsia="仿宋_GB2312"/>
          <w:b/>
          <w:color w:val="auto"/>
          <w:sz w:val="24"/>
          <w:lang w:val="zh-CN"/>
        </w:rPr>
      </w:pPr>
      <w:r>
        <w:rPr>
          <w:rFonts w:hint="eastAsia" w:ascii="仿宋_GB2312" w:eastAsia="仿宋_GB2312"/>
          <w:b/>
          <w:color w:val="auto"/>
          <w:sz w:val="24"/>
          <w:lang w:val="zh-CN"/>
        </w:rPr>
        <w:t>（十一）质疑和投诉</w:t>
      </w:r>
    </w:p>
    <w:p w14:paraId="22D4B144">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1</w:t>
      </w:r>
      <w:r>
        <w:rPr>
          <w:rFonts w:hint="eastAsia" w:ascii="仿宋_GB2312" w:eastAsia="仿宋_GB2312"/>
          <w:color w:val="auto"/>
          <w:sz w:val="24"/>
        </w:rPr>
        <w:t>.</w:t>
      </w:r>
      <w:r>
        <w:rPr>
          <w:rFonts w:hint="eastAsia" w:ascii="仿宋_GB2312" w:eastAsia="仿宋_GB2312"/>
          <w:color w:val="auto"/>
          <w:sz w:val="24"/>
          <w:lang w:val="zh-CN"/>
        </w:rPr>
        <w:t>供应商认为议价比价采购文件、议价比价过程和成交结果使自己的合法权益受到损害的，可以在知道或者应知其权益受到损害之日起7个工作日内，以书面形式向采购人提出质疑，但需对质疑内容的真实性承担责任。</w:t>
      </w:r>
    </w:p>
    <w:p w14:paraId="6D2FE811">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2</w:t>
      </w:r>
      <w:r>
        <w:rPr>
          <w:rFonts w:hint="eastAsia" w:ascii="仿宋_GB2312" w:eastAsia="仿宋_GB2312"/>
          <w:color w:val="auto"/>
          <w:sz w:val="24"/>
        </w:rPr>
        <w:t>.</w:t>
      </w:r>
      <w:r>
        <w:rPr>
          <w:rFonts w:hint="eastAsia" w:ascii="仿宋_GB2312" w:eastAsia="仿宋_GB2312"/>
          <w:color w:val="auto"/>
          <w:sz w:val="24"/>
          <w:lang w:val="zh-CN"/>
        </w:rPr>
        <w:t>采购人在收到供应商的书面质疑后7个工作日内作出答复，并以书面形式通知质疑供应商，但答复的内容不涉及商业秘密。</w:t>
      </w:r>
    </w:p>
    <w:p w14:paraId="4DB47315">
      <w:pPr>
        <w:rPr>
          <w:rFonts w:ascii="仿宋_GB2312" w:eastAsia="仿宋_GB2312"/>
          <w:color w:val="auto"/>
          <w:sz w:val="24"/>
          <w:lang w:val="zh-CN"/>
        </w:rPr>
      </w:pPr>
      <w:r>
        <w:rPr>
          <w:rFonts w:hint="eastAsia" w:ascii="仿宋_GB2312" w:eastAsia="仿宋_GB2312"/>
          <w:color w:val="auto"/>
          <w:sz w:val="24"/>
          <w:lang w:val="zh-CN"/>
        </w:rPr>
        <w:br w:type="page"/>
      </w:r>
    </w:p>
    <w:p w14:paraId="3D0BB599">
      <w:pPr>
        <w:tabs>
          <w:tab w:val="left" w:pos="8280"/>
        </w:tabs>
        <w:spacing w:line="360" w:lineRule="auto"/>
        <w:jc w:val="center"/>
        <w:rPr>
          <w:rFonts w:ascii="仿宋_GB2312" w:hAnsi="宋体" w:eastAsia="仿宋_GB2312"/>
          <w:b/>
          <w:color w:val="auto"/>
          <w:sz w:val="32"/>
          <w:szCs w:val="32"/>
        </w:rPr>
      </w:pPr>
      <w:r>
        <w:rPr>
          <w:rFonts w:hint="eastAsia" w:ascii="仿宋_GB2312" w:eastAsia="仿宋_GB2312"/>
          <w:b/>
          <w:color w:val="auto"/>
          <w:sz w:val="32"/>
          <w:szCs w:val="32"/>
        </w:rPr>
        <w:t>四、</w:t>
      </w:r>
      <w:r>
        <w:rPr>
          <w:rFonts w:hint="eastAsia" w:ascii="仿宋_GB2312" w:hAnsi="宋体" w:eastAsia="仿宋_GB2312"/>
          <w:b/>
          <w:color w:val="auto"/>
          <w:sz w:val="32"/>
          <w:szCs w:val="32"/>
        </w:rPr>
        <w:t>评分标准</w:t>
      </w:r>
    </w:p>
    <w:p w14:paraId="62A687CE">
      <w:pPr>
        <w:spacing w:line="440" w:lineRule="exact"/>
        <w:ind w:firstLine="480" w:firstLineChars="200"/>
        <w:rPr>
          <w:rFonts w:ascii="仿宋_GB2312" w:eastAsia="仿宋_GB2312"/>
          <w:color w:val="auto"/>
          <w:sz w:val="24"/>
          <w:lang w:val="zh-CN"/>
        </w:rPr>
      </w:pPr>
    </w:p>
    <w:p w14:paraId="0D3FB7D0">
      <w:pPr>
        <w:spacing w:line="440" w:lineRule="exact"/>
        <w:ind w:firstLine="480" w:firstLineChars="200"/>
        <w:rPr>
          <w:rFonts w:ascii="仿宋_GB2312" w:eastAsia="仿宋_GB2312"/>
          <w:color w:val="auto"/>
          <w:sz w:val="24"/>
          <w:lang w:val="zh-CN"/>
        </w:rPr>
      </w:pPr>
      <w:r>
        <w:rPr>
          <w:rFonts w:hint="eastAsia" w:ascii="仿宋_GB2312" w:eastAsia="仿宋_GB2312"/>
          <w:color w:val="auto"/>
          <w:sz w:val="24"/>
          <w:lang w:val="zh-CN"/>
        </w:rPr>
        <w:t>根据评标原则，所有投标文件的评分按价格部分、商务部分和技术部分三个部分分别打分的方式进行。</w:t>
      </w:r>
    </w:p>
    <w:p w14:paraId="210A9A43">
      <w:pPr>
        <w:spacing w:line="440" w:lineRule="exact"/>
        <w:ind w:firstLine="480" w:firstLineChars="200"/>
        <w:rPr>
          <w:rFonts w:ascii="仿宋_GB2312" w:eastAsia="仿宋_GB2312"/>
          <w:color w:val="auto"/>
          <w:sz w:val="24"/>
          <w:lang w:val="zh-CN"/>
        </w:rPr>
      </w:pPr>
      <w:r>
        <w:rPr>
          <w:rFonts w:hint="eastAsia" w:ascii="仿宋_GB2312" w:eastAsia="仿宋_GB2312"/>
          <w:color w:val="auto"/>
          <w:sz w:val="24"/>
          <w:lang w:val="zh-CN"/>
        </w:rPr>
        <w:t>评标总得分</w:t>
      </w:r>
      <w:r>
        <w:rPr>
          <w:rFonts w:ascii="仿宋_GB2312" w:eastAsia="仿宋_GB2312"/>
          <w:color w:val="auto"/>
          <w:sz w:val="24"/>
          <w:lang w:val="zh-CN"/>
        </w:rPr>
        <w:t>=</w:t>
      </w:r>
      <w:r>
        <w:rPr>
          <w:rFonts w:hint="eastAsia" w:ascii="仿宋_GB2312" w:eastAsia="仿宋_GB2312"/>
          <w:color w:val="auto"/>
          <w:sz w:val="24"/>
          <w:lang w:val="zh-CN"/>
        </w:rPr>
        <w:t>价格部分+商务技术部分。</w:t>
      </w:r>
    </w:p>
    <w:p w14:paraId="6F56AE8A">
      <w:pPr>
        <w:spacing w:line="440" w:lineRule="exact"/>
        <w:ind w:firstLine="480" w:firstLineChars="200"/>
        <w:rPr>
          <w:rFonts w:ascii="仿宋_GB2312" w:eastAsia="仿宋_GB2312"/>
          <w:color w:val="auto"/>
          <w:sz w:val="24"/>
          <w:lang w:val="zh-CN"/>
        </w:rPr>
      </w:pPr>
      <w:r>
        <w:rPr>
          <w:rFonts w:hint="eastAsia" w:ascii="仿宋_GB2312" w:eastAsia="仿宋_GB2312"/>
          <w:color w:val="auto"/>
          <w:sz w:val="24"/>
          <w:lang w:val="zh-CN"/>
        </w:rPr>
        <w:t>评分因素分值表如下：</w:t>
      </w:r>
    </w:p>
    <w:p w14:paraId="73B0B11B">
      <w:pPr>
        <w:pStyle w:val="12"/>
        <w:numPr>
          <w:ilvl w:val="0"/>
          <w:numId w:val="2"/>
        </w:numPr>
        <w:tabs>
          <w:tab w:val="left" w:pos="1215"/>
        </w:tabs>
        <w:spacing w:line="480" w:lineRule="exact"/>
        <w:ind w:firstLine="480" w:firstLineChars="200"/>
        <w:rPr>
          <w:rFonts w:hint="eastAsia" w:ascii="Times New Roman" w:hAnsi="Times New Roman" w:cs="Times New Roman"/>
          <w:color w:val="auto"/>
          <w:sz w:val="24"/>
          <w:szCs w:val="20"/>
          <w:lang w:val="zh-CN"/>
        </w:rPr>
      </w:pPr>
      <w:r>
        <w:rPr>
          <w:rFonts w:hint="eastAsia" w:ascii="Times New Roman" w:hAnsi="Times New Roman" w:cs="Times New Roman"/>
          <w:color w:val="auto"/>
          <w:sz w:val="24"/>
          <w:szCs w:val="20"/>
          <w:lang w:val="zh-CN"/>
        </w:rPr>
        <w:t>价格部分（满分</w:t>
      </w:r>
      <w:r>
        <w:rPr>
          <w:rFonts w:hint="eastAsia" w:ascii="Times New Roman" w:hAnsi="Times New Roman" w:cs="Times New Roman"/>
          <w:color w:val="auto"/>
          <w:sz w:val="24"/>
          <w:szCs w:val="20"/>
          <w:lang w:val="en-US" w:eastAsia="zh-CN"/>
        </w:rPr>
        <w:t>20</w:t>
      </w:r>
      <w:r>
        <w:rPr>
          <w:rFonts w:hint="eastAsia" w:ascii="Times New Roman" w:hAnsi="Times New Roman" w:cs="Times New Roman"/>
          <w:color w:val="auto"/>
          <w:sz w:val="24"/>
          <w:szCs w:val="20"/>
          <w:lang w:val="zh-CN"/>
        </w:rPr>
        <w:t>分）</w:t>
      </w:r>
    </w:p>
    <w:p w14:paraId="37C8CB55">
      <w:pPr>
        <w:pStyle w:val="12"/>
        <w:numPr>
          <w:ilvl w:val="0"/>
          <w:numId w:val="0"/>
        </w:numPr>
        <w:tabs>
          <w:tab w:val="left" w:pos="1215"/>
        </w:tabs>
        <w:spacing w:line="480" w:lineRule="exact"/>
        <w:rPr>
          <w:rFonts w:hint="default" w:ascii="Times New Roman" w:hAnsi="Times New Roman" w:eastAsia="宋体" w:cs="Times New Roman"/>
          <w:color w:val="auto"/>
          <w:sz w:val="24"/>
          <w:szCs w:val="20"/>
          <w:lang w:val="en-US" w:eastAsia="zh-CN"/>
        </w:rPr>
      </w:pPr>
      <w:r>
        <w:rPr>
          <w:rFonts w:hint="eastAsia" w:ascii="Times New Roman" w:hAnsi="Times New Roman" w:cs="Times New Roman"/>
          <w:color w:val="auto"/>
          <w:sz w:val="24"/>
          <w:szCs w:val="20"/>
          <w:lang w:val="en-US" w:eastAsia="zh-CN"/>
        </w:rPr>
        <w:t xml:space="preserve">    </w:t>
      </w:r>
      <w:r>
        <w:rPr>
          <w:rFonts w:hint="eastAsia" w:ascii="仿宋_GB2312" w:eastAsia="仿宋_GB2312"/>
          <w:color w:val="auto"/>
          <w:sz w:val="24"/>
          <w:highlight w:val="none"/>
          <w:lang w:val="zh-CN"/>
        </w:rPr>
        <w:t>综合评分法中的价格分统一采用低价优先法计算，即满足招标文件要求且投标价格最低的投标报价为评标基准价，其价格分为满分。</w:t>
      </w:r>
    </w:p>
    <w:tbl>
      <w:tblPr>
        <w:tblStyle w:val="23"/>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00"/>
        <w:gridCol w:w="810"/>
        <w:gridCol w:w="6242"/>
      </w:tblGrid>
      <w:tr w14:paraId="71C6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vAlign w:val="center"/>
          </w:tcPr>
          <w:p w14:paraId="0AA61E82">
            <w:pPr>
              <w:jc w:val="center"/>
              <w:rPr>
                <w:color w:val="auto"/>
                <w:highlight w:val="none"/>
              </w:rPr>
            </w:pPr>
            <w:r>
              <w:rPr>
                <w:rFonts w:hint="eastAsia"/>
                <w:color w:val="auto"/>
                <w:highlight w:val="none"/>
              </w:rPr>
              <w:t>序号</w:t>
            </w:r>
          </w:p>
        </w:tc>
        <w:tc>
          <w:tcPr>
            <w:tcW w:w="1500" w:type="dxa"/>
            <w:vAlign w:val="center"/>
          </w:tcPr>
          <w:p w14:paraId="3547C3B0">
            <w:pPr>
              <w:jc w:val="center"/>
              <w:rPr>
                <w:color w:val="auto"/>
                <w:highlight w:val="none"/>
              </w:rPr>
            </w:pPr>
            <w:r>
              <w:rPr>
                <w:rFonts w:hint="eastAsia"/>
                <w:color w:val="auto"/>
                <w:highlight w:val="none"/>
              </w:rPr>
              <w:t>评分内容</w:t>
            </w:r>
          </w:p>
        </w:tc>
        <w:tc>
          <w:tcPr>
            <w:tcW w:w="810" w:type="dxa"/>
            <w:vAlign w:val="center"/>
          </w:tcPr>
          <w:p w14:paraId="6A32F0D0">
            <w:pPr>
              <w:jc w:val="center"/>
              <w:rPr>
                <w:color w:val="auto"/>
                <w:highlight w:val="none"/>
              </w:rPr>
            </w:pPr>
            <w:r>
              <w:rPr>
                <w:rFonts w:hint="eastAsia"/>
                <w:color w:val="auto"/>
                <w:highlight w:val="none"/>
              </w:rPr>
              <w:t>分值</w:t>
            </w:r>
          </w:p>
        </w:tc>
        <w:tc>
          <w:tcPr>
            <w:tcW w:w="6242" w:type="dxa"/>
            <w:vAlign w:val="center"/>
          </w:tcPr>
          <w:p w14:paraId="1F22712E">
            <w:pPr>
              <w:jc w:val="center"/>
              <w:rPr>
                <w:color w:val="auto"/>
                <w:highlight w:val="none"/>
              </w:rPr>
            </w:pPr>
            <w:r>
              <w:rPr>
                <w:rFonts w:hint="eastAsia"/>
                <w:color w:val="auto"/>
                <w:highlight w:val="none"/>
              </w:rPr>
              <w:t>评审标准</w:t>
            </w:r>
          </w:p>
        </w:tc>
      </w:tr>
      <w:tr w14:paraId="2FD8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vMerge w:val="restart"/>
            <w:vAlign w:val="center"/>
          </w:tcPr>
          <w:p w14:paraId="33588ED0">
            <w:pPr>
              <w:jc w:val="center"/>
              <w:rPr>
                <w:color w:val="auto"/>
                <w:highlight w:val="none"/>
              </w:rPr>
            </w:pPr>
            <w:r>
              <w:rPr>
                <w:rFonts w:hint="eastAsia"/>
                <w:color w:val="auto"/>
                <w:highlight w:val="none"/>
              </w:rPr>
              <w:t>1</w:t>
            </w:r>
          </w:p>
        </w:tc>
        <w:tc>
          <w:tcPr>
            <w:tcW w:w="1500" w:type="dxa"/>
            <w:vAlign w:val="center"/>
          </w:tcPr>
          <w:p w14:paraId="46955266">
            <w:pPr>
              <w:pStyle w:val="12"/>
              <w:spacing w:line="480" w:lineRule="exact"/>
              <w:jc w:val="center"/>
              <w:rPr>
                <w:rFonts w:hint="eastAsia" w:ascii="宋体" w:hAnsi="宋体" w:eastAsia="宋体" w:cs="Times New Roman"/>
                <w:bCs/>
                <w:color w:val="auto"/>
                <w:kern w:val="2"/>
                <w:sz w:val="21"/>
                <w:szCs w:val="24"/>
                <w:highlight w:val="none"/>
                <w:lang w:val="en-US" w:eastAsia="zh-CN" w:bidi="ar-SA"/>
              </w:rPr>
            </w:pPr>
            <w:r>
              <w:rPr>
                <w:rFonts w:hint="eastAsia" w:ascii="宋体" w:hAnsi="宋体" w:eastAsia="宋体" w:cs="Times New Roman"/>
                <w:bCs/>
                <w:color w:val="auto"/>
                <w:kern w:val="2"/>
                <w:sz w:val="21"/>
                <w:szCs w:val="24"/>
                <w:highlight w:val="none"/>
                <w:lang w:val="en-US" w:eastAsia="zh-CN" w:bidi="ar-SA"/>
              </w:rPr>
              <w:t>价格扣除条件</w:t>
            </w:r>
          </w:p>
        </w:tc>
        <w:tc>
          <w:tcPr>
            <w:tcW w:w="810" w:type="dxa"/>
            <w:vAlign w:val="center"/>
          </w:tcPr>
          <w:p w14:paraId="702A48B5">
            <w:pPr>
              <w:jc w:val="center"/>
              <w:rPr>
                <w:rFonts w:hint="eastAsia" w:ascii="宋体" w:hAnsi="宋体" w:eastAsia="宋体" w:cs="Times New Roman"/>
                <w:bCs/>
                <w:color w:val="auto"/>
                <w:kern w:val="2"/>
                <w:sz w:val="21"/>
                <w:szCs w:val="24"/>
                <w:highlight w:val="none"/>
                <w:lang w:val="en-US" w:eastAsia="zh-CN" w:bidi="ar-SA"/>
              </w:rPr>
            </w:pPr>
            <w:r>
              <w:rPr>
                <w:rFonts w:hint="eastAsia" w:ascii="宋体" w:hAnsi="宋体" w:eastAsia="宋体" w:cs="Times New Roman"/>
                <w:bCs/>
                <w:color w:val="auto"/>
                <w:kern w:val="2"/>
                <w:sz w:val="21"/>
                <w:szCs w:val="24"/>
                <w:highlight w:val="none"/>
                <w:lang w:val="en-US" w:eastAsia="zh-CN" w:bidi="ar-SA"/>
              </w:rPr>
              <w:t>6%</w:t>
            </w:r>
          </w:p>
        </w:tc>
        <w:tc>
          <w:tcPr>
            <w:tcW w:w="6242" w:type="dxa"/>
            <w:vAlign w:val="center"/>
          </w:tcPr>
          <w:p w14:paraId="5C648800">
            <w:pPr>
              <w:rPr>
                <w:rFonts w:hint="eastAsia" w:ascii="宋体" w:hAnsi="宋体" w:eastAsia="宋体" w:cs="Times New Roman"/>
                <w:bCs/>
                <w:color w:val="auto"/>
                <w:kern w:val="2"/>
                <w:sz w:val="21"/>
                <w:szCs w:val="24"/>
                <w:highlight w:val="none"/>
                <w:lang w:val="en-US" w:eastAsia="zh-CN" w:bidi="ar-SA"/>
              </w:rPr>
            </w:pPr>
            <w:r>
              <w:rPr>
                <w:rFonts w:hint="eastAsia" w:ascii="宋体" w:hAnsi="宋体" w:eastAsia="宋体" w:cs="Times New Roman"/>
                <w:bCs/>
                <w:color w:val="auto"/>
                <w:kern w:val="2"/>
                <w:sz w:val="21"/>
                <w:szCs w:val="24"/>
                <w:highlight w:val="none"/>
                <w:lang w:val="en-US" w:eastAsia="zh-CN" w:bidi="ar-SA"/>
              </w:rPr>
              <w:t>小型和微型企业（监狱企业、残疾人福利单位视同小型、微型企业）</w:t>
            </w:r>
          </w:p>
        </w:tc>
      </w:tr>
      <w:tr w14:paraId="1E21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vMerge w:val="continue"/>
            <w:vAlign w:val="center"/>
          </w:tcPr>
          <w:p w14:paraId="6193D04C">
            <w:pPr>
              <w:jc w:val="center"/>
              <w:rPr>
                <w:color w:val="auto"/>
                <w:highlight w:val="none"/>
              </w:rPr>
            </w:pPr>
          </w:p>
        </w:tc>
        <w:tc>
          <w:tcPr>
            <w:tcW w:w="1500" w:type="dxa"/>
            <w:vAlign w:val="center"/>
          </w:tcPr>
          <w:p w14:paraId="45F4089A">
            <w:pPr>
              <w:jc w:val="center"/>
              <w:rPr>
                <w:color w:val="auto"/>
                <w:highlight w:val="none"/>
              </w:rPr>
            </w:pPr>
            <w:r>
              <w:rPr>
                <w:rFonts w:hint="eastAsia" w:ascii="宋体" w:hAnsi="宋体"/>
                <w:bCs/>
                <w:color w:val="auto"/>
                <w:highlight w:val="none"/>
              </w:rPr>
              <w:t>价格评分</w:t>
            </w:r>
          </w:p>
        </w:tc>
        <w:tc>
          <w:tcPr>
            <w:tcW w:w="810" w:type="dxa"/>
            <w:vAlign w:val="center"/>
          </w:tcPr>
          <w:p w14:paraId="2A4B73E3">
            <w:pPr>
              <w:jc w:val="center"/>
              <w:rPr>
                <w:rFonts w:hint="eastAsia" w:ascii="宋体" w:hAnsi="宋体" w:eastAsia="宋体" w:cs="Times New Roman"/>
                <w:bCs/>
                <w:color w:val="auto"/>
                <w:kern w:val="2"/>
                <w:sz w:val="21"/>
                <w:szCs w:val="24"/>
                <w:highlight w:val="none"/>
                <w:lang w:val="en-US" w:eastAsia="zh-CN" w:bidi="ar-SA"/>
              </w:rPr>
            </w:pPr>
            <w:r>
              <w:rPr>
                <w:rFonts w:hint="default" w:ascii="宋体" w:hAnsi="宋体" w:cs="Times New Roman"/>
                <w:bCs/>
                <w:color w:val="auto"/>
                <w:kern w:val="2"/>
                <w:sz w:val="21"/>
                <w:szCs w:val="24"/>
                <w:highlight w:val="none"/>
                <w:lang w:val="en-US" w:eastAsia="zh-CN" w:bidi="ar-SA"/>
              </w:rPr>
              <w:t>20</w:t>
            </w:r>
            <w:r>
              <w:rPr>
                <w:rFonts w:hint="eastAsia" w:ascii="宋体" w:hAnsi="宋体" w:eastAsia="宋体" w:cs="Times New Roman"/>
                <w:bCs/>
                <w:color w:val="auto"/>
                <w:kern w:val="2"/>
                <w:sz w:val="21"/>
                <w:szCs w:val="24"/>
                <w:highlight w:val="none"/>
                <w:lang w:val="en-US" w:eastAsia="zh-CN" w:bidi="ar-SA"/>
              </w:rPr>
              <w:t>分</w:t>
            </w:r>
          </w:p>
        </w:tc>
        <w:tc>
          <w:tcPr>
            <w:tcW w:w="6242" w:type="dxa"/>
            <w:vAlign w:val="center"/>
          </w:tcPr>
          <w:p w14:paraId="0662154D">
            <w:pPr>
              <w:rPr>
                <w:rFonts w:hint="default" w:eastAsia="宋体"/>
                <w:color w:val="auto"/>
                <w:highlight w:val="none"/>
                <w:lang w:val="en-US" w:eastAsia="zh-CN"/>
              </w:rPr>
            </w:pPr>
            <w:r>
              <w:rPr>
                <w:rFonts w:hint="eastAsia" w:hAnsi="宋体"/>
                <w:color w:val="auto"/>
                <w:highlight w:val="none"/>
              </w:rPr>
              <w:t>价格扣除后的投标报价得分=（评标基准价/价格扣除后的投标报价）×</w:t>
            </w:r>
            <w:r>
              <w:rPr>
                <w:rFonts w:hint="eastAsia" w:hAnsi="宋体"/>
                <w:color w:val="auto"/>
                <w:highlight w:val="none"/>
                <w:lang w:val="en-US" w:eastAsia="zh-CN"/>
              </w:rPr>
              <w:t>20</w:t>
            </w:r>
          </w:p>
        </w:tc>
      </w:tr>
      <w:tr w14:paraId="1E97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7" w:type="dxa"/>
            <w:gridSpan w:val="4"/>
            <w:vAlign w:val="center"/>
          </w:tcPr>
          <w:p w14:paraId="3D8AF93C">
            <w:pPr>
              <w:rPr>
                <w:color w:val="auto"/>
                <w:highlight w:val="none"/>
              </w:rPr>
            </w:pPr>
            <w:r>
              <w:rPr>
                <w:rFonts w:hint="eastAsia" w:hAnsi="宋体"/>
                <w:b/>
                <w:color w:val="auto"/>
                <w:highlight w:val="none"/>
              </w:rPr>
              <w:t>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bl>
    <w:p w14:paraId="09AF7E86">
      <w:pPr>
        <w:pStyle w:val="12"/>
        <w:tabs>
          <w:tab w:val="left" w:pos="1215"/>
        </w:tabs>
        <w:spacing w:line="480" w:lineRule="exact"/>
        <w:ind w:firstLine="480" w:firstLineChars="200"/>
        <w:rPr>
          <w:rFonts w:hint="eastAsia" w:ascii="Times New Roman" w:hAnsi="Times New Roman" w:cs="Times New Roman"/>
          <w:color w:val="auto"/>
          <w:sz w:val="24"/>
          <w:szCs w:val="20"/>
          <w:lang w:val="zh-CN"/>
        </w:rPr>
      </w:pPr>
      <w:r>
        <w:rPr>
          <w:rFonts w:hint="eastAsia" w:ascii="Times New Roman" w:hAnsi="Times New Roman" w:cs="Times New Roman"/>
          <w:color w:val="auto"/>
          <w:sz w:val="24"/>
          <w:szCs w:val="20"/>
          <w:lang w:val="zh-CN"/>
        </w:rPr>
        <w:t>（二）商务技术部分（满分</w:t>
      </w:r>
      <w:r>
        <w:rPr>
          <w:rFonts w:hint="eastAsia" w:ascii="Times New Roman" w:hAnsi="Times New Roman" w:cs="Times New Roman"/>
          <w:color w:val="auto"/>
          <w:sz w:val="24"/>
          <w:szCs w:val="20"/>
        </w:rPr>
        <w:t>8</w:t>
      </w:r>
      <w:r>
        <w:rPr>
          <w:rFonts w:hint="eastAsia" w:ascii="Times New Roman" w:hAnsi="Times New Roman" w:cs="Times New Roman"/>
          <w:color w:val="auto"/>
          <w:sz w:val="24"/>
          <w:szCs w:val="20"/>
          <w:lang w:val="en-US" w:eastAsia="zh-CN"/>
        </w:rPr>
        <w:t>0</w:t>
      </w:r>
      <w:r>
        <w:rPr>
          <w:rFonts w:hint="eastAsia" w:ascii="Times New Roman" w:hAnsi="Times New Roman" w:cs="Times New Roman"/>
          <w:color w:val="auto"/>
          <w:sz w:val="24"/>
          <w:szCs w:val="20"/>
          <w:lang w:val="zh-CN"/>
        </w:rPr>
        <w:t>分）</w:t>
      </w:r>
    </w:p>
    <w:tbl>
      <w:tblPr>
        <w:tblStyle w:val="23"/>
        <w:tblW w:w="47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477"/>
        <w:gridCol w:w="819"/>
        <w:gridCol w:w="6276"/>
      </w:tblGrid>
      <w:tr w14:paraId="238E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14" w:type="pct"/>
            <w:vAlign w:val="center"/>
          </w:tcPr>
          <w:p w14:paraId="02028B41">
            <w:pPr>
              <w:pStyle w:val="56"/>
              <w:spacing w:line="240" w:lineRule="auto"/>
              <w:ind w:firstLine="0" w:firstLineChars="0"/>
              <w:jc w:val="center"/>
              <w:rPr>
                <w:rFonts w:hAnsi="Times New Roman"/>
                <w:color w:val="auto"/>
                <w:sz w:val="24"/>
                <w:szCs w:val="24"/>
                <w:highlight w:val="none"/>
                <w:lang w:val="zh-CN"/>
              </w:rPr>
            </w:pPr>
            <w:r>
              <w:rPr>
                <w:rFonts w:hint="eastAsia" w:hAnsi="Times New Roman"/>
                <w:color w:val="auto"/>
                <w:sz w:val="24"/>
                <w:szCs w:val="24"/>
                <w:highlight w:val="none"/>
                <w:lang w:val="zh-CN"/>
              </w:rPr>
              <w:t>序号</w:t>
            </w:r>
          </w:p>
        </w:tc>
        <w:tc>
          <w:tcPr>
            <w:tcW w:w="790" w:type="pct"/>
            <w:vAlign w:val="center"/>
          </w:tcPr>
          <w:p w14:paraId="29631E77">
            <w:pPr>
              <w:pStyle w:val="56"/>
              <w:spacing w:line="240" w:lineRule="auto"/>
              <w:ind w:firstLine="0" w:firstLineChars="0"/>
              <w:jc w:val="center"/>
              <w:rPr>
                <w:rFonts w:hAnsi="Times New Roman"/>
                <w:color w:val="auto"/>
                <w:sz w:val="24"/>
                <w:szCs w:val="24"/>
                <w:highlight w:val="none"/>
                <w:lang w:val="zh-CN"/>
              </w:rPr>
            </w:pPr>
            <w:r>
              <w:rPr>
                <w:rFonts w:hint="eastAsia" w:hAnsi="Times New Roman"/>
                <w:color w:val="auto"/>
                <w:sz w:val="24"/>
                <w:szCs w:val="24"/>
                <w:highlight w:val="none"/>
                <w:lang w:val="zh-CN"/>
              </w:rPr>
              <w:t>评分内容</w:t>
            </w:r>
          </w:p>
        </w:tc>
        <w:tc>
          <w:tcPr>
            <w:tcW w:w="438" w:type="pct"/>
            <w:vAlign w:val="center"/>
          </w:tcPr>
          <w:p w14:paraId="2445BA34">
            <w:pPr>
              <w:pStyle w:val="56"/>
              <w:spacing w:line="240" w:lineRule="auto"/>
              <w:ind w:firstLine="0" w:firstLineChars="0"/>
              <w:jc w:val="center"/>
              <w:rPr>
                <w:rFonts w:hAnsi="Times New Roman"/>
                <w:color w:val="auto"/>
                <w:sz w:val="24"/>
                <w:szCs w:val="24"/>
                <w:highlight w:val="none"/>
                <w:lang w:val="zh-CN"/>
              </w:rPr>
            </w:pPr>
            <w:r>
              <w:rPr>
                <w:rFonts w:hint="eastAsia" w:hAnsi="Times New Roman"/>
                <w:color w:val="auto"/>
                <w:sz w:val="24"/>
                <w:szCs w:val="24"/>
                <w:highlight w:val="none"/>
                <w:lang w:val="zh-CN"/>
              </w:rPr>
              <w:t>分值</w:t>
            </w:r>
          </w:p>
        </w:tc>
        <w:tc>
          <w:tcPr>
            <w:tcW w:w="3356" w:type="pct"/>
            <w:vAlign w:val="center"/>
          </w:tcPr>
          <w:p w14:paraId="0B64F59A">
            <w:pPr>
              <w:pStyle w:val="56"/>
              <w:spacing w:line="240" w:lineRule="auto"/>
              <w:ind w:firstLine="0" w:firstLineChars="0"/>
              <w:jc w:val="center"/>
              <w:rPr>
                <w:rFonts w:hAnsi="Times New Roman"/>
                <w:color w:val="auto"/>
                <w:sz w:val="24"/>
                <w:szCs w:val="24"/>
                <w:highlight w:val="none"/>
                <w:lang w:val="zh-CN"/>
              </w:rPr>
            </w:pPr>
            <w:r>
              <w:rPr>
                <w:rFonts w:hint="eastAsia" w:hAnsi="Times New Roman"/>
                <w:color w:val="auto"/>
                <w:sz w:val="24"/>
                <w:szCs w:val="24"/>
                <w:highlight w:val="none"/>
                <w:lang w:val="zh-CN"/>
              </w:rPr>
              <w:t>评审标准</w:t>
            </w:r>
          </w:p>
        </w:tc>
      </w:tr>
      <w:tr w14:paraId="3690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000" w:type="pct"/>
            <w:gridSpan w:val="4"/>
            <w:vAlign w:val="center"/>
          </w:tcPr>
          <w:p w14:paraId="7537CDF7">
            <w:pPr>
              <w:pStyle w:val="56"/>
              <w:spacing w:line="240" w:lineRule="auto"/>
              <w:ind w:firstLine="0" w:firstLineChars="0"/>
              <w:jc w:val="center"/>
              <w:rPr>
                <w:rFonts w:hAnsi="Times New Roman"/>
                <w:color w:val="auto"/>
                <w:sz w:val="24"/>
                <w:szCs w:val="24"/>
                <w:highlight w:val="none"/>
                <w:lang w:val="zh-CN"/>
              </w:rPr>
            </w:pPr>
            <w:r>
              <w:rPr>
                <w:rFonts w:hint="eastAsia" w:hAnsi="Times New Roman"/>
                <w:color w:val="auto"/>
                <w:sz w:val="24"/>
                <w:szCs w:val="24"/>
                <w:highlight w:val="none"/>
                <w:lang w:val="zh-CN"/>
              </w:rPr>
              <w:t>商务评审细则（</w:t>
            </w:r>
            <w:r>
              <w:rPr>
                <w:rFonts w:hAnsi="Times New Roman"/>
                <w:color w:val="auto"/>
                <w:sz w:val="24"/>
                <w:szCs w:val="24"/>
                <w:highlight w:val="none"/>
              </w:rPr>
              <w:t>4</w:t>
            </w:r>
            <w:r>
              <w:rPr>
                <w:rFonts w:hint="eastAsia" w:hAnsi="Times New Roman"/>
                <w:color w:val="auto"/>
                <w:sz w:val="24"/>
                <w:szCs w:val="24"/>
                <w:highlight w:val="none"/>
                <w:lang w:val="en-US" w:eastAsia="zh-CN"/>
              </w:rPr>
              <w:t>6</w:t>
            </w:r>
            <w:r>
              <w:rPr>
                <w:rFonts w:hint="eastAsia" w:hAnsi="Times New Roman"/>
                <w:color w:val="auto"/>
                <w:sz w:val="24"/>
                <w:szCs w:val="24"/>
                <w:highlight w:val="none"/>
                <w:lang w:val="zh-CN"/>
              </w:rPr>
              <w:t>分）</w:t>
            </w:r>
          </w:p>
        </w:tc>
      </w:tr>
      <w:tr w14:paraId="139B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5" w:hRule="atLeast"/>
          <w:jc w:val="center"/>
        </w:trPr>
        <w:tc>
          <w:tcPr>
            <w:tcW w:w="414" w:type="pct"/>
            <w:vAlign w:val="center"/>
          </w:tcPr>
          <w:p w14:paraId="305F6581">
            <w:pPr>
              <w:jc w:val="center"/>
              <w:rPr>
                <w:rFonts w:hint="eastAsia" w:ascii="宋体" w:hAnsi="宋体" w:eastAsia="宋体" w:cs="宋体"/>
                <w:bCs/>
                <w:color w:val="auto"/>
                <w:szCs w:val="21"/>
                <w:highlight w:val="none"/>
                <w:lang w:val="zh-CN" w:eastAsia="zh-CN"/>
              </w:rPr>
            </w:pPr>
            <w:r>
              <w:rPr>
                <w:rFonts w:hint="eastAsia" w:ascii="宋体" w:hAnsi="宋体" w:cs="宋体"/>
                <w:color w:val="auto"/>
                <w:szCs w:val="21"/>
                <w:highlight w:val="none"/>
                <w:lang w:val="en-US" w:eastAsia="zh-CN"/>
              </w:rPr>
              <w:t>1</w:t>
            </w:r>
          </w:p>
        </w:tc>
        <w:tc>
          <w:tcPr>
            <w:tcW w:w="790" w:type="pct"/>
            <w:shd w:val="clear" w:color="auto" w:fill="auto"/>
            <w:vAlign w:val="center"/>
          </w:tcPr>
          <w:p w14:paraId="0A294858">
            <w:pPr>
              <w:jc w:val="center"/>
              <w:rPr>
                <w:rFonts w:ascii="宋体" w:hAnsi="宋体" w:cs="宋体"/>
                <w:bCs/>
                <w:color w:val="auto"/>
                <w:szCs w:val="21"/>
                <w:highlight w:val="none"/>
                <w:lang w:val="zh-CN"/>
              </w:rPr>
            </w:pPr>
            <w:r>
              <w:rPr>
                <w:rFonts w:hint="eastAsia" w:ascii="宋体" w:eastAsia="宋体" w:cs="宋体"/>
                <w:color w:val="auto"/>
                <w:szCs w:val="24"/>
              </w:rPr>
              <w:t>技术团队配置</w:t>
            </w:r>
          </w:p>
        </w:tc>
        <w:tc>
          <w:tcPr>
            <w:tcW w:w="438" w:type="pct"/>
            <w:shd w:val="clear" w:color="auto" w:fill="auto"/>
            <w:vAlign w:val="center"/>
          </w:tcPr>
          <w:p w14:paraId="15C4D622">
            <w:pPr>
              <w:jc w:val="center"/>
              <w:rPr>
                <w:rFonts w:ascii="宋体" w:hAnsi="宋体" w:cs="宋体"/>
                <w:bCs/>
                <w:color w:val="auto"/>
                <w:szCs w:val="21"/>
                <w:highlight w:val="none"/>
                <w:lang w:val="zh-CN"/>
              </w:rPr>
            </w:pPr>
            <w:r>
              <w:rPr>
                <w:rFonts w:hint="eastAsia" w:ascii="宋体" w:hAnsi="宋体" w:cs="宋体"/>
                <w:b w:val="0"/>
                <w:bCs w:val="0"/>
                <w:i w:val="0"/>
                <w:iCs w:val="0"/>
                <w:color w:val="auto"/>
                <w:kern w:val="0"/>
                <w:sz w:val="21"/>
                <w:szCs w:val="21"/>
                <w:highlight w:val="none"/>
                <w:vertAlign w:val="baseline"/>
                <w:lang w:val="en-US" w:eastAsia="zh-CN" w:bidi="ar-SA"/>
              </w:rPr>
              <w:t>18</w:t>
            </w:r>
            <w:r>
              <w:rPr>
                <w:rFonts w:hint="eastAsia" w:ascii="宋体" w:hAnsi="宋体" w:cs="宋体"/>
                <w:color w:val="auto"/>
                <w:kern w:val="0"/>
                <w:szCs w:val="21"/>
                <w:highlight w:val="none"/>
              </w:rPr>
              <w:t>分</w:t>
            </w:r>
          </w:p>
        </w:tc>
        <w:tc>
          <w:tcPr>
            <w:tcW w:w="3356" w:type="pct"/>
            <w:shd w:val="clear" w:color="auto" w:fill="auto"/>
            <w:vAlign w:val="center"/>
          </w:tcPr>
          <w:p w14:paraId="456A0FA0">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根据投标人拟投入本项目的人</w:t>
            </w:r>
            <w:r>
              <w:rPr>
                <w:rFonts w:hint="eastAsia" w:asciiTheme="minorEastAsia" w:hAnsiTheme="minorEastAsia" w:eastAsiaTheme="minorEastAsia" w:cstheme="minorEastAsia"/>
                <w:color w:val="auto"/>
                <w:szCs w:val="24"/>
                <w:lang w:val="en-US" w:eastAsia="zh-CN"/>
              </w:rPr>
              <w:t>员</w:t>
            </w:r>
            <w:r>
              <w:rPr>
                <w:rFonts w:hint="eastAsia" w:asciiTheme="minorEastAsia" w:hAnsiTheme="minorEastAsia" w:eastAsiaTheme="minorEastAsia" w:cstheme="minorEastAsia"/>
                <w:color w:val="auto"/>
                <w:szCs w:val="24"/>
              </w:rPr>
              <w:t>情况进行评审：</w:t>
            </w:r>
          </w:p>
          <w:p w14:paraId="3364EFF8">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eastAsia" w:asciiTheme="minorEastAsia" w:hAnsiTheme="minorEastAsia" w:eastAsiaTheme="minorEastAsia" w:cstheme="minorEastAsia"/>
                <w:b w:val="0"/>
                <w:bCs w:val="0"/>
                <w:color w:val="auto"/>
                <w:sz w:val="21"/>
                <w:szCs w:val="24"/>
                <w:lang w:val="en-US" w:eastAsia="zh-CN"/>
              </w:rPr>
            </w:pPr>
            <w:r>
              <w:rPr>
                <w:rFonts w:hint="eastAsia" w:asciiTheme="minorEastAsia" w:hAnsiTheme="minorEastAsia" w:eastAsiaTheme="minorEastAsia" w:cstheme="minorEastAsia"/>
                <w:b w:val="0"/>
                <w:bCs w:val="0"/>
                <w:color w:val="auto"/>
                <w:sz w:val="21"/>
                <w:szCs w:val="24"/>
                <w:lang w:val="en-US" w:eastAsia="zh-CN"/>
              </w:rPr>
              <w:t>（1）项目负责人（仅1人）</w:t>
            </w:r>
          </w:p>
          <w:p w14:paraId="44719EAA">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eastAsia" w:asciiTheme="minorEastAsia" w:hAnsiTheme="minorEastAsia" w:eastAsiaTheme="minorEastAsia" w:cstheme="minorEastAsia"/>
                <w:color w:val="auto"/>
                <w:sz w:val="21"/>
                <w:szCs w:val="24"/>
                <w:lang w:val="en-US" w:eastAsia="zh-CN"/>
              </w:rPr>
            </w:pPr>
            <w:r>
              <w:rPr>
                <w:rFonts w:hint="eastAsia" w:asciiTheme="minorEastAsia" w:hAnsiTheme="minorEastAsia" w:eastAsiaTheme="minorEastAsia" w:cstheme="minorEastAsia"/>
                <w:color w:val="auto"/>
                <w:sz w:val="21"/>
                <w:szCs w:val="24"/>
                <w:lang w:val="en-US" w:eastAsia="zh-CN"/>
              </w:rPr>
              <w:t>项目负责人具有高级或以上职称的得6分，中级职称的得3分，初级职称的得1分。本项最高得6分。</w:t>
            </w:r>
          </w:p>
          <w:p w14:paraId="68E8908B">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eastAsia" w:asciiTheme="minorEastAsia" w:hAnsiTheme="minorEastAsia" w:eastAsiaTheme="minorEastAsia" w:cstheme="minorEastAsia"/>
                <w:b w:val="0"/>
                <w:bCs w:val="0"/>
                <w:color w:val="auto"/>
                <w:sz w:val="21"/>
                <w:szCs w:val="24"/>
                <w:lang w:val="en-US" w:eastAsia="zh-CN"/>
              </w:rPr>
            </w:pPr>
            <w:r>
              <w:rPr>
                <w:rFonts w:hint="eastAsia" w:asciiTheme="minorEastAsia" w:hAnsiTheme="minorEastAsia" w:eastAsiaTheme="minorEastAsia" w:cstheme="minorEastAsia"/>
                <w:b w:val="0"/>
                <w:bCs w:val="0"/>
                <w:color w:val="auto"/>
                <w:sz w:val="21"/>
                <w:szCs w:val="24"/>
                <w:lang w:val="en-US" w:eastAsia="zh-CN"/>
              </w:rPr>
              <w:t>（2）计算机技术和大数据分析技术人员</w:t>
            </w:r>
          </w:p>
          <w:p w14:paraId="5000BC72">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eastAsia" w:asciiTheme="minorEastAsia" w:hAnsiTheme="minorEastAsia" w:eastAsiaTheme="minorEastAsia" w:cstheme="minorEastAsia"/>
                <w:color w:val="auto"/>
                <w:sz w:val="21"/>
                <w:szCs w:val="24"/>
                <w:lang w:val="en-US" w:eastAsia="zh-CN"/>
              </w:rPr>
            </w:pPr>
            <w:r>
              <w:rPr>
                <w:rFonts w:hint="eastAsia" w:asciiTheme="minorEastAsia" w:hAnsiTheme="minorEastAsia" w:eastAsiaTheme="minorEastAsia" w:cstheme="minorEastAsia"/>
                <w:color w:val="auto"/>
                <w:sz w:val="21"/>
                <w:szCs w:val="24"/>
                <w:lang w:val="en-US" w:eastAsia="zh-CN"/>
              </w:rPr>
              <w:t>人员职称证书为初级的，得1分；职称证书为中级的，每人得2分；职称证书为高级或以上的，每人得3分；本项最高得6分。</w:t>
            </w:r>
          </w:p>
          <w:p w14:paraId="51AD7216">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eastAsia" w:asciiTheme="minorEastAsia" w:hAnsiTheme="minorEastAsia" w:eastAsiaTheme="minorEastAsia" w:cstheme="minorEastAsia"/>
                <w:b w:val="0"/>
                <w:bCs w:val="0"/>
                <w:color w:val="auto"/>
                <w:sz w:val="21"/>
                <w:szCs w:val="24"/>
                <w:lang w:val="en-US" w:eastAsia="zh-CN"/>
              </w:rPr>
            </w:pPr>
            <w:r>
              <w:rPr>
                <w:rFonts w:hint="eastAsia" w:asciiTheme="minorEastAsia" w:hAnsiTheme="minorEastAsia" w:eastAsiaTheme="minorEastAsia" w:cstheme="minorEastAsia"/>
                <w:b w:val="0"/>
                <w:bCs w:val="0"/>
                <w:color w:val="auto"/>
                <w:sz w:val="21"/>
                <w:szCs w:val="24"/>
                <w:lang w:val="en-US" w:eastAsia="zh-CN"/>
              </w:rPr>
              <w:t>（3）医学、药学专业人员</w:t>
            </w:r>
          </w:p>
          <w:p w14:paraId="066A4CFE">
            <w:pPr>
              <w:rPr>
                <w:rFonts w:hint="default" w:ascii="宋体" w:hAnsi="宋体" w:cs="宋体" w:eastAsiaTheme="minorEastAsia"/>
                <w:bCs/>
                <w:color w:val="auto"/>
                <w:szCs w:val="21"/>
                <w:highlight w:val="none"/>
                <w:lang w:val="en-US" w:eastAsia="zh-CN"/>
              </w:rPr>
            </w:pPr>
            <w:r>
              <w:rPr>
                <w:rFonts w:hint="eastAsia" w:asciiTheme="minorEastAsia" w:hAnsiTheme="minorEastAsia" w:eastAsiaTheme="minorEastAsia" w:cstheme="minorEastAsia"/>
                <w:color w:val="auto"/>
                <w:sz w:val="21"/>
                <w:szCs w:val="24"/>
                <w:lang w:val="en-US" w:eastAsia="zh-CN"/>
              </w:rPr>
              <w:t>人员职称证书为初级的，得1分；职称证书为中级的，每人得2分；职称证书为高级或以上的，每人得3分；本项最高得6分。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注：须提供相关证书复印件以及距开标当月前6个月内任意1个月（不含开标当月）投标人</w:t>
            </w:r>
            <w:r>
              <w:rPr>
                <w:rFonts w:hint="eastAsia" w:asciiTheme="minorEastAsia" w:hAnsiTheme="minorEastAsia" w:eastAsiaTheme="minorEastAsia" w:cstheme="minorEastAsia"/>
                <w:color w:val="auto"/>
                <w:szCs w:val="24"/>
                <w:lang w:eastAsia="zh-CN"/>
              </w:rPr>
              <w:t>（</w:t>
            </w:r>
            <w:r>
              <w:rPr>
                <w:rFonts w:hint="eastAsia" w:asciiTheme="minorEastAsia" w:hAnsiTheme="minorEastAsia" w:eastAsiaTheme="minorEastAsia" w:cstheme="minorEastAsia"/>
                <w:color w:val="auto"/>
                <w:szCs w:val="24"/>
                <w:lang w:val="en-US" w:eastAsia="zh-CN"/>
              </w:rPr>
              <w:t>含总</w:t>
            </w:r>
            <w:r>
              <w:rPr>
                <w:rFonts w:hint="eastAsia" w:asciiTheme="minorEastAsia" w:hAnsiTheme="minorEastAsia" w:eastAsiaTheme="minorEastAsia" w:cstheme="minorEastAsia"/>
                <w:color w:val="auto"/>
                <w:szCs w:val="24"/>
                <w:lang w:eastAsia="zh-CN"/>
              </w:rPr>
              <w:t>公司、分公司）</w:t>
            </w:r>
            <w:r>
              <w:rPr>
                <w:rFonts w:hint="eastAsia" w:asciiTheme="minorEastAsia" w:hAnsiTheme="minorEastAsia" w:eastAsiaTheme="minorEastAsia" w:cstheme="minorEastAsia"/>
                <w:color w:val="auto"/>
                <w:szCs w:val="24"/>
              </w:rPr>
              <w:t>为</w:t>
            </w:r>
            <w:r>
              <w:rPr>
                <w:rFonts w:hint="eastAsia" w:asciiTheme="minorEastAsia" w:hAnsiTheme="minorEastAsia" w:eastAsiaTheme="minorEastAsia" w:cstheme="minorEastAsia"/>
                <w:color w:val="auto"/>
                <w:szCs w:val="24"/>
                <w:lang w:eastAsia="zh-CN"/>
              </w:rPr>
              <w:t>拟派人员</w:t>
            </w:r>
            <w:r>
              <w:rPr>
                <w:rFonts w:hint="eastAsia" w:asciiTheme="minorEastAsia" w:hAnsiTheme="minorEastAsia" w:eastAsiaTheme="minorEastAsia" w:cstheme="minorEastAsia"/>
                <w:color w:val="auto"/>
                <w:szCs w:val="24"/>
              </w:rPr>
              <w:t>缴纳社保资金的有效的社保证明材料，加盖投标人公章，否则不得分。</w:t>
            </w:r>
            <w:r>
              <w:rPr>
                <w:rFonts w:hint="eastAsia" w:asciiTheme="minorEastAsia" w:hAnsiTheme="minorEastAsia" w:eastAsiaTheme="minorEastAsia" w:cstheme="minorEastAsia"/>
                <w:color w:val="auto"/>
                <w:szCs w:val="24"/>
                <w:lang w:val="en-US" w:eastAsia="zh-CN"/>
              </w:rPr>
              <w:t>同一人员具多个证书的，不重复得分。</w:t>
            </w:r>
          </w:p>
        </w:tc>
      </w:tr>
      <w:tr w14:paraId="6B4F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14" w:type="pct"/>
            <w:vAlign w:val="center"/>
          </w:tcPr>
          <w:p w14:paraId="3A63E5C1">
            <w:pPr>
              <w:jc w:val="center"/>
              <w:rPr>
                <w:rFonts w:hint="eastAsia" w:ascii="宋体" w:hAnsi="宋体" w:eastAsia="宋体" w:cs="宋体"/>
                <w:bCs/>
                <w:color w:val="auto"/>
                <w:szCs w:val="21"/>
                <w:highlight w:val="none"/>
                <w:lang w:val="zh-CN" w:eastAsia="zh-CN"/>
              </w:rPr>
            </w:pPr>
            <w:r>
              <w:rPr>
                <w:rFonts w:hint="eastAsia" w:ascii="宋体" w:hAnsi="宋体" w:cs="宋体"/>
                <w:color w:val="auto"/>
                <w:szCs w:val="21"/>
                <w:highlight w:val="none"/>
                <w:lang w:val="en-US" w:eastAsia="zh-CN"/>
              </w:rPr>
              <w:t>2</w:t>
            </w:r>
          </w:p>
        </w:tc>
        <w:tc>
          <w:tcPr>
            <w:tcW w:w="790" w:type="pct"/>
            <w:shd w:val="clear" w:color="auto" w:fill="auto"/>
            <w:vAlign w:val="center"/>
          </w:tcPr>
          <w:p w14:paraId="080E3394">
            <w:pPr>
              <w:jc w:val="center"/>
              <w:rPr>
                <w:rFonts w:ascii="宋体" w:hAnsi="宋体" w:cs="宋体"/>
                <w:bCs/>
                <w:color w:val="auto"/>
                <w:szCs w:val="21"/>
                <w:highlight w:val="none"/>
                <w:lang w:val="zh-CN"/>
              </w:rPr>
            </w:pPr>
            <w:r>
              <w:rPr>
                <w:rFonts w:hint="eastAsia" w:ascii="宋体" w:hAnsi="宋体" w:cs="宋体"/>
                <w:bCs/>
                <w:color w:val="auto"/>
                <w:szCs w:val="21"/>
                <w:highlight w:val="none"/>
              </w:rPr>
              <w:t>综合实力</w:t>
            </w:r>
          </w:p>
        </w:tc>
        <w:tc>
          <w:tcPr>
            <w:tcW w:w="438" w:type="pct"/>
            <w:shd w:val="clear" w:color="auto" w:fill="auto"/>
            <w:vAlign w:val="center"/>
          </w:tcPr>
          <w:p w14:paraId="1D14B9AD">
            <w:pPr>
              <w:jc w:val="center"/>
              <w:rPr>
                <w:rFonts w:ascii="宋体" w:hAnsi="宋体" w:cs="宋体"/>
                <w:bCs/>
                <w:color w:val="auto"/>
                <w:szCs w:val="21"/>
                <w:highlight w:val="none"/>
                <w:lang w:val="zh-CN"/>
              </w:rPr>
            </w:pPr>
            <w:r>
              <w:rPr>
                <w:rFonts w:hint="default" w:ascii="宋体" w:hAnsi="宋体" w:cs="宋体"/>
                <w:color w:val="auto"/>
                <w:kern w:val="0"/>
                <w:szCs w:val="21"/>
                <w:highlight w:val="none"/>
                <w:lang w:val="en-US"/>
              </w:rPr>
              <w:t>3</w:t>
            </w:r>
            <w:r>
              <w:rPr>
                <w:rFonts w:hint="eastAsia" w:ascii="宋体" w:hAnsi="宋体" w:cs="宋体"/>
                <w:color w:val="auto"/>
                <w:kern w:val="0"/>
                <w:szCs w:val="21"/>
                <w:highlight w:val="none"/>
              </w:rPr>
              <w:t>分</w:t>
            </w:r>
          </w:p>
        </w:tc>
        <w:tc>
          <w:tcPr>
            <w:tcW w:w="3356" w:type="pct"/>
            <w:shd w:val="clear" w:color="auto" w:fill="auto"/>
            <w:vAlign w:val="center"/>
          </w:tcPr>
          <w:p w14:paraId="7D07143E">
            <w:pPr>
              <w:rPr>
                <w:rFonts w:ascii="宋体" w:hAnsi="宋体" w:cs="宋体"/>
                <w:bCs/>
                <w:color w:val="auto"/>
                <w:szCs w:val="21"/>
                <w:highlight w:val="none"/>
                <w:lang w:val="zh-CN"/>
              </w:rPr>
            </w:pPr>
            <w:r>
              <w:rPr>
                <w:rFonts w:hint="eastAsia" w:asciiTheme="minorEastAsia" w:hAnsiTheme="minorEastAsia" w:eastAsiaTheme="minorEastAsia" w:cstheme="minorEastAsia"/>
                <w:color w:val="auto"/>
                <w:szCs w:val="24"/>
              </w:rPr>
              <w:t>根据投标人的综合实力情况进行评审：</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具有</w:t>
            </w:r>
            <w:r>
              <w:rPr>
                <w:rFonts w:hint="eastAsia" w:ascii="宋体" w:eastAsia="宋体" w:cs="宋体"/>
                <w:color w:val="auto"/>
                <w:szCs w:val="24"/>
                <w:lang w:eastAsia="zh-CN"/>
              </w:rPr>
              <w:t>“</w:t>
            </w:r>
            <w:r>
              <w:rPr>
                <w:rFonts w:hint="eastAsia" w:ascii="宋体" w:eastAsia="宋体" w:cs="宋体"/>
                <w:color w:val="auto"/>
                <w:szCs w:val="24"/>
              </w:rPr>
              <w:t>医疗费用审核</w:t>
            </w:r>
            <w:r>
              <w:rPr>
                <w:rFonts w:hint="eastAsia" w:ascii="宋体" w:eastAsia="宋体" w:cs="宋体"/>
                <w:color w:val="auto"/>
                <w:szCs w:val="24"/>
                <w:lang w:eastAsia="zh-CN"/>
              </w:rPr>
              <w:t>”</w:t>
            </w:r>
            <w:r>
              <w:rPr>
                <w:rFonts w:hint="eastAsia" w:ascii="宋体" w:eastAsia="宋体" w:cs="宋体"/>
                <w:color w:val="auto"/>
                <w:szCs w:val="24"/>
                <w:lang w:val="en-US" w:eastAsia="zh-CN"/>
              </w:rPr>
              <w:t>或“医保费用审核”类</w:t>
            </w:r>
            <w:r>
              <w:rPr>
                <w:rFonts w:hint="eastAsia" w:asciiTheme="minorEastAsia" w:hAnsiTheme="minorEastAsia" w:eastAsiaTheme="minorEastAsia" w:cstheme="minorEastAsia"/>
                <w:color w:val="auto"/>
                <w:szCs w:val="24"/>
              </w:rPr>
              <w:t>（或含义基本相同）计算机软件著作权登记证书的，得3分；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注：需提供有效的相应证书复印件并加盖投标人公章，否则不得分。</w:t>
            </w:r>
          </w:p>
        </w:tc>
      </w:tr>
      <w:tr w14:paraId="355D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414" w:type="pct"/>
            <w:vAlign w:val="center"/>
          </w:tcPr>
          <w:p w14:paraId="4A9CB4E4">
            <w:pPr>
              <w:jc w:val="center"/>
              <w:rPr>
                <w:rFonts w:hint="default" w:ascii="宋体" w:hAnsi="宋体" w:cs="宋体"/>
                <w:bCs/>
                <w:color w:val="auto"/>
                <w:szCs w:val="21"/>
                <w:highlight w:val="none"/>
                <w:lang w:val="en-US"/>
              </w:rPr>
            </w:pPr>
            <w:r>
              <w:rPr>
                <w:rFonts w:hint="eastAsia" w:ascii="宋体" w:hAnsi="宋体" w:cs="宋体"/>
                <w:color w:val="auto"/>
                <w:szCs w:val="21"/>
                <w:highlight w:val="none"/>
                <w:lang w:val="en-US" w:eastAsia="zh-CN"/>
              </w:rPr>
              <w:t>3</w:t>
            </w:r>
          </w:p>
        </w:tc>
        <w:tc>
          <w:tcPr>
            <w:tcW w:w="790" w:type="pct"/>
            <w:shd w:val="clear" w:color="auto" w:fill="auto"/>
            <w:vAlign w:val="center"/>
          </w:tcPr>
          <w:p w14:paraId="7716D885">
            <w:pPr>
              <w:jc w:val="center"/>
              <w:rPr>
                <w:rFonts w:ascii="宋体" w:hAnsi="宋体" w:cs="宋体"/>
                <w:bCs/>
                <w:color w:val="auto"/>
                <w:szCs w:val="21"/>
                <w:highlight w:val="none"/>
                <w:lang w:val="zh-CN"/>
              </w:rPr>
            </w:pPr>
            <w:r>
              <w:rPr>
                <w:rFonts w:hint="eastAsia" w:ascii="宋体" w:hAnsi="宋体" w:cs="宋体"/>
                <w:bCs/>
                <w:color w:val="auto"/>
                <w:szCs w:val="21"/>
                <w:highlight w:val="none"/>
              </w:rPr>
              <w:t>业绩情况</w:t>
            </w:r>
          </w:p>
        </w:tc>
        <w:tc>
          <w:tcPr>
            <w:tcW w:w="438" w:type="pct"/>
            <w:shd w:val="clear" w:color="auto" w:fill="auto"/>
            <w:vAlign w:val="center"/>
          </w:tcPr>
          <w:p w14:paraId="2A47BE12">
            <w:pPr>
              <w:jc w:val="center"/>
              <w:rPr>
                <w:rFonts w:ascii="宋体" w:hAnsi="宋体" w:cs="宋体"/>
                <w:bCs/>
                <w:color w:val="auto"/>
                <w:szCs w:val="21"/>
                <w:highlight w:val="none"/>
                <w:lang w:val="zh-CN"/>
              </w:rPr>
            </w:pPr>
            <w:r>
              <w:rPr>
                <w:rFonts w:hint="default" w:ascii="宋体" w:hAnsi="宋体" w:cs="宋体"/>
                <w:color w:val="auto"/>
                <w:kern w:val="0"/>
                <w:szCs w:val="21"/>
                <w:highlight w:val="none"/>
                <w:lang w:val="en-US"/>
              </w:rPr>
              <w:t>2</w:t>
            </w:r>
            <w:r>
              <w:rPr>
                <w:rFonts w:hint="default"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c>
          <w:tcPr>
            <w:tcW w:w="3356" w:type="pct"/>
            <w:shd w:val="clear" w:color="auto" w:fill="auto"/>
            <w:vAlign w:val="center"/>
          </w:tcPr>
          <w:p w14:paraId="730A87E7">
            <w:pPr>
              <w:rPr>
                <w:rFonts w:ascii="宋体" w:hAnsi="宋体" w:cs="宋体"/>
                <w:bCs/>
                <w:color w:val="auto"/>
                <w:szCs w:val="21"/>
                <w:highlight w:val="none"/>
                <w:lang w:val="zh-CN"/>
              </w:rPr>
            </w:pPr>
            <w:r>
              <w:rPr>
                <w:rFonts w:hint="eastAsia" w:asciiTheme="minorEastAsia" w:hAnsiTheme="minorEastAsia" w:eastAsiaTheme="minorEastAsia" w:cstheme="minorEastAsia"/>
                <w:color w:val="auto"/>
                <w:szCs w:val="24"/>
              </w:rPr>
              <w:t>投标人</w:t>
            </w:r>
            <w:r>
              <w:rPr>
                <w:rFonts w:hint="eastAsia" w:asciiTheme="minorEastAsia" w:hAnsiTheme="minorEastAsia" w:eastAsiaTheme="minorEastAsia" w:cstheme="minorEastAsia"/>
                <w:color w:val="auto"/>
                <w:szCs w:val="24"/>
                <w:lang w:val="en-US" w:eastAsia="zh-CN"/>
              </w:rPr>
              <w:t>自2022年1月1日以来（以合同签订时间为准）</w:t>
            </w:r>
            <w:r>
              <w:rPr>
                <w:rFonts w:hint="eastAsia" w:asciiTheme="minorEastAsia" w:hAnsiTheme="minorEastAsia" w:eastAsiaTheme="minorEastAsia" w:cstheme="minorEastAsia"/>
                <w:color w:val="auto"/>
                <w:szCs w:val="24"/>
              </w:rPr>
              <w:t>承担过</w:t>
            </w:r>
            <w:r>
              <w:rPr>
                <w:rFonts w:hint="eastAsia" w:asciiTheme="minorEastAsia" w:hAnsiTheme="minorEastAsia" w:eastAsiaTheme="minorEastAsia" w:cstheme="minorEastAsia"/>
                <w:color w:val="auto"/>
                <w:szCs w:val="24"/>
                <w:lang w:val="en-US" w:eastAsia="zh-CN"/>
              </w:rPr>
              <w:t>医疗费用审核或医保基金核查相关服务的</w:t>
            </w:r>
            <w:r>
              <w:rPr>
                <w:rFonts w:hint="eastAsia" w:asciiTheme="minorEastAsia" w:hAnsiTheme="minorEastAsia" w:eastAsiaTheme="minorEastAsia" w:cstheme="minorEastAsia"/>
                <w:color w:val="auto"/>
                <w:szCs w:val="24"/>
              </w:rPr>
              <w:t>，每</w:t>
            </w:r>
            <w:r>
              <w:rPr>
                <w:rFonts w:hint="eastAsia" w:asciiTheme="minorEastAsia" w:hAnsiTheme="minorEastAsia" w:eastAsiaTheme="minorEastAsia" w:cstheme="minorEastAsia"/>
                <w:color w:val="auto"/>
                <w:szCs w:val="24"/>
                <w:lang w:val="en-US" w:eastAsia="zh-CN"/>
              </w:rPr>
              <w:t>1</w:t>
            </w:r>
            <w:r>
              <w:rPr>
                <w:rFonts w:hint="eastAsia" w:asciiTheme="minorEastAsia" w:hAnsiTheme="minorEastAsia" w:eastAsiaTheme="minorEastAsia" w:cstheme="minorEastAsia"/>
                <w:color w:val="auto"/>
                <w:szCs w:val="24"/>
              </w:rPr>
              <w:t>个项目得5分，本项最高得分为25分，其</w:t>
            </w:r>
            <w:r>
              <w:rPr>
                <w:rFonts w:hint="eastAsia" w:asciiTheme="minorEastAsia" w:hAnsiTheme="minorEastAsia" w:eastAsiaTheme="minorEastAsia" w:cstheme="minorEastAsia"/>
                <w:color w:val="auto"/>
                <w:szCs w:val="24"/>
                <w:lang w:val="en-US" w:eastAsia="zh-CN"/>
              </w:rPr>
              <w:t>它</w:t>
            </w:r>
            <w:r>
              <w:rPr>
                <w:rFonts w:hint="eastAsia" w:asciiTheme="minorEastAsia" w:hAnsiTheme="minorEastAsia" w:eastAsiaTheme="minorEastAsia" w:cstheme="minorEastAsia"/>
                <w:color w:val="auto"/>
                <w:szCs w:val="24"/>
              </w:rPr>
              <w:t>或没有的不得分。</w:t>
            </w:r>
            <w:r>
              <w:rPr>
                <w:rFonts w:hint="eastAsia"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注：需提供项目合同关键页（含签订合同双方的单位名称、合同项目名称、签订合同双方的落款盖章、签订日期）复印件及客户盖章的客户评价或验收报告复印件，并加盖投标人公章，否则不得分。</w:t>
            </w:r>
          </w:p>
        </w:tc>
      </w:tr>
      <w:tr w14:paraId="2932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4"/>
            <w:vAlign w:val="center"/>
          </w:tcPr>
          <w:p w14:paraId="4213C7F9">
            <w:pPr>
              <w:jc w:val="center"/>
              <w:rPr>
                <w:rFonts w:ascii="仿宋_GB2312" w:hAnsi="宋体" w:eastAsia="仿宋_GB2312" w:cs="宋体"/>
                <w:bCs/>
                <w:color w:val="auto"/>
                <w:sz w:val="24"/>
                <w:highlight w:val="none"/>
                <w:lang w:val="zh-CN"/>
              </w:rPr>
            </w:pPr>
            <w:r>
              <w:rPr>
                <w:rFonts w:hint="eastAsia" w:ascii="仿宋_GB2312" w:hAnsi="宋体" w:eastAsia="仿宋_GB2312" w:cs="宋体"/>
                <w:bCs/>
                <w:color w:val="auto"/>
                <w:sz w:val="24"/>
                <w:highlight w:val="none"/>
                <w:lang w:val="zh-CN"/>
              </w:rPr>
              <w:t>技术评审细则（</w:t>
            </w:r>
            <w:r>
              <w:rPr>
                <w:rFonts w:hint="eastAsia" w:ascii="仿宋_GB2312" w:hAnsi="宋体" w:eastAsia="仿宋_GB2312" w:cs="宋体"/>
                <w:bCs/>
                <w:color w:val="auto"/>
                <w:sz w:val="24"/>
                <w:highlight w:val="none"/>
                <w:lang w:val="en-US" w:eastAsia="zh-CN"/>
              </w:rPr>
              <w:t>34</w:t>
            </w:r>
            <w:r>
              <w:rPr>
                <w:rFonts w:hint="eastAsia" w:ascii="仿宋_GB2312" w:hAnsi="宋体" w:eastAsia="仿宋_GB2312" w:cs="宋体"/>
                <w:bCs/>
                <w:color w:val="auto"/>
                <w:sz w:val="24"/>
                <w:highlight w:val="none"/>
                <w:lang w:val="zh-CN"/>
              </w:rPr>
              <w:t>分）</w:t>
            </w:r>
          </w:p>
        </w:tc>
      </w:tr>
      <w:tr w14:paraId="191C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14" w:type="pct"/>
            <w:vAlign w:val="center"/>
          </w:tcPr>
          <w:p w14:paraId="02C9601C">
            <w:pPr>
              <w:jc w:val="center"/>
              <w:rPr>
                <w:rFonts w:ascii="宋体" w:hAnsi="宋体" w:cs="宋体"/>
                <w:bCs/>
                <w:color w:val="auto"/>
                <w:szCs w:val="21"/>
                <w:highlight w:val="none"/>
                <w:lang w:val="zh-CN"/>
              </w:rPr>
            </w:pPr>
            <w:r>
              <w:rPr>
                <w:rFonts w:hint="eastAsia" w:ascii="宋体" w:hAnsi="宋体" w:cs="宋体"/>
                <w:color w:val="auto"/>
                <w:szCs w:val="21"/>
                <w:highlight w:val="none"/>
              </w:rPr>
              <w:t>1</w:t>
            </w:r>
          </w:p>
        </w:tc>
        <w:tc>
          <w:tcPr>
            <w:tcW w:w="790" w:type="pct"/>
            <w:vAlign w:val="center"/>
          </w:tcPr>
          <w:p w14:paraId="42A2A750">
            <w:pPr>
              <w:jc w:val="center"/>
              <w:rPr>
                <w:rFonts w:ascii="宋体" w:hAnsi="宋体" w:cs="宋体"/>
                <w:bCs/>
                <w:color w:val="auto"/>
                <w:szCs w:val="21"/>
                <w:highlight w:val="none"/>
                <w:lang w:val="zh-CN"/>
              </w:rPr>
            </w:pPr>
            <w:r>
              <w:rPr>
                <w:rFonts w:hint="eastAsia" w:ascii="宋体" w:hAnsi="宋体" w:cs="宋体"/>
                <w:color w:val="auto"/>
                <w:szCs w:val="21"/>
                <w:highlight w:val="none"/>
              </w:rPr>
              <w:t>对本项目用户需求书理解程度</w:t>
            </w:r>
          </w:p>
        </w:tc>
        <w:tc>
          <w:tcPr>
            <w:tcW w:w="438" w:type="pct"/>
            <w:vAlign w:val="center"/>
          </w:tcPr>
          <w:p w14:paraId="4B420D5E">
            <w:pPr>
              <w:jc w:val="center"/>
              <w:rPr>
                <w:rFonts w:ascii="宋体" w:hAnsi="宋体" w:cs="宋体"/>
                <w:bCs/>
                <w:color w:val="auto"/>
                <w:szCs w:val="21"/>
                <w:highlight w:val="none"/>
                <w:lang w:val="zh-CN"/>
              </w:rPr>
            </w:pPr>
            <w:r>
              <w:rPr>
                <w:rFonts w:hint="eastAsia" w:ascii="宋体" w:hAnsi="宋体" w:cs="宋体"/>
                <w:color w:val="auto"/>
                <w:szCs w:val="21"/>
                <w:highlight w:val="none"/>
              </w:rPr>
              <w:t>10分</w:t>
            </w:r>
          </w:p>
        </w:tc>
        <w:tc>
          <w:tcPr>
            <w:tcW w:w="3356" w:type="pct"/>
            <w:vAlign w:val="center"/>
          </w:tcPr>
          <w:p w14:paraId="5876651C">
            <w:pPr>
              <w:rPr>
                <w:rFonts w:ascii="宋体" w:hAnsi="宋体" w:cs="宋体"/>
                <w:bCs/>
                <w:color w:val="auto"/>
                <w:szCs w:val="21"/>
                <w:highlight w:val="none"/>
                <w:lang w:val="zh-CN"/>
              </w:rPr>
            </w:pPr>
            <w:r>
              <w:rPr>
                <w:rFonts w:hint="eastAsia" w:asciiTheme="minorEastAsia" w:hAnsiTheme="minorEastAsia" w:eastAsiaTheme="minorEastAsia" w:cstheme="minorEastAsia"/>
                <w:color w:val="auto"/>
                <w:szCs w:val="24"/>
              </w:rPr>
              <w:t>根据投标人对项目理解及需求分析进行评审，包括服务总体设想、服务宗旨、本项目重点难点及解决方案等：</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①服务总体设想全面，服务宗旨符合项目需求，重点关键问题分析准确、重点难点突出、解决方案具有针对性和可落地性的，得10分；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②服务总体设想较全面，服务宗旨较符合项目需求，重点关键问题分析较准确、重点难点较突出、解决方案具有一定针对性的，得7分；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③服务总体设想基本全面，服务宗旨基本符合项目需求，重点关键问题分析一般、重点难点基本突出、解决方案基本可行的，得4分；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④服务总体设想不全面，服务宗旨不符合项目需求，重点关键问题分析较差、重点难点不突出、无有效解决方案的，得1分；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⑤无提供相关描述的，得0分。</w:t>
            </w:r>
          </w:p>
        </w:tc>
      </w:tr>
      <w:tr w14:paraId="5E6B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414" w:type="pct"/>
            <w:vAlign w:val="center"/>
          </w:tcPr>
          <w:p w14:paraId="5A7DEC10">
            <w:pPr>
              <w:jc w:val="center"/>
              <w:rPr>
                <w:rFonts w:ascii="宋体" w:hAnsi="宋体" w:cs="宋体"/>
                <w:bCs/>
                <w:color w:val="auto"/>
                <w:szCs w:val="21"/>
                <w:highlight w:val="none"/>
                <w:lang w:val="zh-CN"/>
              </w:rPr>
            </w:pPr>
            <w:r>
              <w:rPr>
                <w:rFonts w:hint="eastAsia" w:ascii="宋体" w:hAnsi="宋体" w:cs="宋体"/>
                <w:color w:val="auto"/>
                <w:szCs w:val="21"/>
                <w:highlight w:val="none"/>
              </w:rPr>
              <w:t>2</w:t>
            </w:r>
          </w:p>
        </w:tc>
        <w:tc>
          <w:tcPr>
            <w:tcW w:w="790" w:type="pct"/>
            <w:vAlign w:val="center"/>
          </w:tcPr>
          <w:p w14:paraId="01B51D62">
            <w:pPr>
              <w:jc w:val="center"/>
              <w:rPr>
                <w:rFonts w:ascii="宋体" w:hAnsi="宋体" w:cs="宋体"/>
                <w:bCs/>
                <w:color w:val="auto"/>
                <w:szCs w:val="21"/>
                <w:highlight w:val="none"/>
                <w:lang w:val="zh-CN"/>
              </w:rPr>
            </w:pPr>
            <w:r>
              <w:rPr>
                <w:rFonts w:hint="eastAsia" w:ascii="宋体" w:hAnsi="宋体" w:cs="宋体"/>
                <w:color w:val="auto"/>
                <w:szCs w:val="21"/>
                <w:highlight w:val="none"/>
              </w:rPr>
              <w:t>项目实施方案</w:t>
            </w:r>
          </w:p>
        </w:tc>
        <w:tc>
          <w:tcPr>
            <w:tcW w:w="438" w:type="pct"/>
            <w:vAlign w:val="center"/>
          </w:tcPr>
          <w:p w14:paraId="5F951D36">
            <w:pPr>
              <w:jc w:val="center"/>
              <w:rPr>
                <w:rFonts w:ascii="宋体" w:hAnsi="宋体" w:cs="宋体"/>
                <w:bCs/>
                <w:color w:val="auto"/>
                <w:szCs w:val="21"/>
                <w:highlight w:val="none"/>
                <w:lang w:val="zh-CN"/>
              </w:rPr>
            </w:pPr>
            <w:r>
              <w:rPr>
                <w:rFonts w:hint="eastAsia" w:ascii="宋体" w:hAnsi="宋体" w:cs="宋体"/>
                <w:color w:val="auto"/>
                <w:szCs w:val="21"/>
                <w:highlight w:val="none"/>
              </w:rPr>
              <w:t>10分</w:t>
            </w:r>
          </w:p>
        </w:tc>
        <w:tc>
          <w:tcPr>
            <w:tcW w:w="3356" w:type="pct"/>
            <w:vAlign w:val="center"/>
          </w:tcPr>
          <w:p w14:paraId="4693AD71">
            <w:pPr>
              <w:rPr>
                <w:rFonts w:ascii="宋体" w:hAnsi="宋体" w:cs="宋体"/>
                <w:bCs/>
                <w:color w:val="auto"/>
                <w:szCs w:val="21"/>
                <w:highlight w:val="none"/>
                <w:lang w:val="zh-CN"/>
              </w:rPr>
            </w:pPr>
            <w:r>
              <w:rPr>
                <w:rFonts w:hint="eastAsia" w:asciiTheme="minorEastAsia" w:hAnsiTheme="minorEastAsia" w:eastAsiaTheme="minorEastAsia" w:cstheme="minorEastAsia"/>
                <w:color w:val="auto"/>
                <w:szCs w:val="24"/>
              </w:rPr>
              <w:t>根据投标人对智能审核系统与审核规则的更新完善情况进行评审，包括工伤保险审核系统功能、审核规则库、临床知识库的能力和服务情况、本地化适配方案等：</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①实施方案专业性、合理性、科学性非常强，对本市工伤保险智能审核规则、工伤保险政策等本地化情况掌握透彻，知识库覆盖完整、更新机制完善的，得10分；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②实施方案专业性、合理性、科学性比较强，对本市工伤保险智能审核规则、工伤保险政策等本地化情况比较了解，知识库覆盖较完整、更新机制较完善的，得7分；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③实施方案专业性、合理性、科学性一般，对本市工伤保险智能审核规则、工伤保险政策等本地化情况基本了解，知识库覆盖基本完整、更新机制基本完善的，得4分；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④实施方案专业性、合理性、科学性较差，对本市工伤保险智能审核规则、工伤保险政策等本地化情况不了解，知识库覆盖不全、无明确更新机制的，得1分；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⑤未提供对应方案的，得0分。</w:t>
            </w:r>
          </w:p>
        </w:tc>
      </w:tr>
      <w:tr w14:paraId="4209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414" w:type="pct"/>
            <w:vAlign w:val="center"/>
          </w:tcPr>
          <w:p w14:paraId="7257A3F6">
            <w:pPr>
              <w:jc w:val="center"/>
              <w:rPr>
                <w:rFonts w:ascii="宋体" w:hAnsi="宋体" w:cs="宋体"/>
                <w:bCs/>
                <w:color w:val="auto"/>
                <w:szCs w:val="21"/>
                <w:highlight w:val="none"/>
                <w:lang w:val="zh-CN"/>
              </w:rPr>
            </w:pPr>
            <w:r>
              <w:rPr>
                <w:rFonts w:hint="eastAsia" w:ascii="宋体" w:hAnsi="宋体" w:cs="宋体"/>
                <w:color w:val="auto"/>
                <w:szCs w:val="21"/>
                <w:highlight w:val="none"/>
              </w:rPr>
              <w:t>3</w:t>
            </w:r>
          </w:p>
        </w:tc>
        <w:tc>
          <w:tcPr>
            <w:tcW w:w="790" w:type="pct"/>
            <w:vAlign w:val="center"/>
          </w:tcPr>
          <w:p w14:paraId="075E87F4">
            <w:pPr>
              <w:jc w:val="center"/>
              <w:rPr>
                <w:rFonts w:ascii="宋体" w:hAnsi="宋体" w:cs="宋体"/>
                <w:bCs/>
                <w:color w:val="auto"/>
                <w:szCs w:val="21"/>
                <w:highlight w:val="none"/>
                <w:lang w:val="zh-CN"/>
              </w:rPr>
            </w:pPr>
            <w:r>
              <w:rPr>
                <w:rFonts w:hint="eastAsia" w:ascii="宋体" w:hAnsi="宋体" w:cs="宋体"/>
                <w:bCs/>
                <w:color w:val="auto"/>
                <w:szCs w:val="21"/>
                <w:highlight w:val="none"/>
              </w:rPr>
              <w:t>服务方案</w:t>
            </w:r>
          </w:p>
        </w:tc>
        <w:tc>
          <w:tcPr>
            <w:tcW w:w="438" w:type="pct"/>
            <w:vAlign w:val="center"/>
          </w:tcPr>
          <w:p w14:paraId="6402EE68">
            <w:pPr>
              <w:jc w:val="center"/>
              <w:rPr>
                <w:rFonts w:ascii="宋体" w:hAnsi="宋体" w:cs="宋体"/>
                <w:bCs/>
                <w:color w:val="auto"/>
                <w:szCs w:val="21"/>
                <w:highlight w:val="none"/>
                <w:lang w:val="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c>
          <w:tcPr>
            <w:tcW w:w="3356" w:type="pct"/>
            <w:vAlign w:val="center"/>
          </w:tcPr>
          <w:p w14:paraId="47CFBCE3">
            <w:pPr>
              <w:rPr>
                <w:rFonts w:ascii="宋体" w:hAnsi="宋体" w:cs="宋体"/>
                <w:bCs/>
                <w:color w:val="auto"/>
                <w:szCs w:val="21"/>
                <w:highlight w:val="none"/>
                <w:lang w:val="zh-CN"/>
              </w:rPr>
            </w:pPr>
            <w:r>
              <w:rPr>
                <w:rFonts w:hint="eastAsia" w:asciiTheme="minorEastAsia" w:hAnsiTheme="minorEastAsia" w:eastAsiaTheme="minorEastAsia" w:cstheme="minorEastAsia"/>
                <w:color w:val="auto"/>
                <w:szCs w:val="24"/>
              </w:rPr>
              <w:t>根据投标人所提供的服务方案（含工作人员的配置、培训方案、进场时间、服务开展时间，及服务质量保障、审核效率保障、应急处理措施的全面性、可实施性）进行评审：</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①服务方案非常完整、合理，各项保障措施完善、可落地性强的，得7分；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②服务方案比较完整、合理，各项保障措施较完善、具有一定可落地性的，得5分；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③服务方案基本完整、合理，各项保障措施基本完善、基本可落地的，得3分；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④服务方案不完整、不合理，保障措施缺失、落地性差的，得1分；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⑤未提供对应方案的，得0分。</w:t>
            </w:r>
          </w:p>
        </w:tc>
      </w:tr>
      <w:tr w14:paraId="1A36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414" w:type="pct"/>
            <w:vAlign w:val="center"/>
          </w:tcPr>
          <w:p w14:paraId="3DBA1DEA">
            <w:pPr>
              <w:jc w:val="center"/>
              <w:rPr>
                <w:rFonts w:ascii="宋体" w:hAnsi="宋体" w:cs="宋体"/>
                <w:bCs/>
                <w:color w:val="auto"/>
                <w:szCs w:val="21"/>
                <w:highlight w:val="none"/>
                <w:lang w:val="zh-CN"/>
              </w:rPr>
            </w:pPr>
            <w:r>
              <w:rPr>
                <w:rFonts w:hint="eastAsia" w:ascii="宋体" w:hAnsi="宋体" w:cs="宋体"/>
                <w:color w:val="auto"/>
                <w:szCs w:val="21"/>
                <w:highlight w:val="none"/>
              </w:rPr>
              <w:t>4</w:t>
            </w:r>
          </w:p>
        </w:tc>
        <w:tc>
          <w:tcPr>
            <w:tcW w:w="790" w:type="pct"/>
            <w:vAlign w:val="center"/>
          </w:tcPr>
          <w:p w14:paraId="489B00FA">
            <w:pPr>
              <w:jc w:val="center"/>
              <w:rPr>
                <w:rFonts w:ascii="宋体" w:hAnsi="宋体" w:cs="宋体"/>
                <w:bCs/>
                <w:color w:val="auto"/>
                <w:szCs w:val="21"/>
                <w:highlight w:val="none"/>
                <w:lang w:val="zh-CN"/>
              </w:rPr>
            </w:pPr>
            <w:r>
              <w:rPr>
                <w:rFonts w:hint="eastAsia" w:ascii="宋体" w:hAnsi="宋体" w:cs="宋体"/>
                <w:bCs/>
                <w:color w:val="auto"/>
                <w:szCs w:val="21"/>
                <w:highlight w:val="none"/>
              </w:rPr>
              <w:t>服务响应情况</w:t>
            </w:r>
          </w:p>
        </w:tc>
        <w:tc>
          <w:tcPr>
            <w:tcW w:w="438" w:type="pct"/>
            <w:vAlign w:val="center"/>
          </w:tcPr>
          <w:p w14:paraId="3AB3717E">
            <w:pPr>
              <w:jc w:val="center"/>
              <w:rPr>
                <w:rFonts w:ascii="宋体" w:hAnsi="宋体" w:cs="宋体"/>
                <w:bCs/>
                <w:color w:val="auto"/>
                <w:szCs w:val="21"/>
                <w:highlight w:val="none"/>
                <w:lang w:val="zh-CN"/>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分</w:t>
            </w:r>
          </w:p>
        </w:tc>
        <w:tc>
          <w:tcPr>
            <w:tcW w:w="3356" w:type="pct"/>
            <w:vAlign w:val="center"/>
          </w:tcPr>
          <w:p w14:paraId="590588F0">
            <w:pPr>
              <w:rPr>
                <w:rFonts w:ascii="宋体" w:hAnsi="宋体" w:cs="宋体"/>
                <w:bCs/>
                <w:color w:val="auto"/>
                <w:szCs w:val="21"/>
                <w:highlight w:val="none"/>
                <w:lang w:val="zh-CN"/>
              </w:rPr>
            </w:pPr>
            <w:r>
              <w:rPr>
                <w:rFonts w:hint="eastAsia" w:asciiTheme="minorEastAsia" w:hAnsiTheme="minorEastAsia" w:eastAsiaTheme="minorEastAsia" w:cstheme="minorEastAsia"/>
                <w:color w:val="auto"/>
                <w:szCs w:val="24"/>
              </w:rPr>
              <w:t>根据投标人对招标文件中用户需求的响应情况进行综合评审：</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①完全响应用户需求中各项服务内容要求，所提供的服务满足或优于招标文件需求，核心技术指标均作出明确承诺的，得7分；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②响应用户需求中各项服务内容要求，所提供的服务满足招标文件需求，核心技术指标作出明确承诺的，得5分；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③基本响应用户需求中各项服务内容要求，所提供的服务基本满足招标文件需求，核心技术指标未完全作出明确承诺的，得3分；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④不能响应用户需求中核心服务内容要求，所提供的服务不满足招标文件需求的，得1分；</w:t>
            </w:r>
            <w:r>
              <w:rPr>
                <w:rFonts w:asciiTheme="minorEastAsia" w:hAnsiTheme="minorEastAsia" w:eastAsiaTheme="minorEastAsia" w:cstheme="minorEastAsia"/>
                <w:color w:val="auto"/>
                <w:szCs w:val="24"/>
              </w:rPr>
              <w:br w:type="textWrapping"/>
            </w:r>
            <w:r>
              <w:rPr>
                <w:rFonts w:hint="eastAsia" w:asciiTheme="minorEastAsia" w:hAnsiTheme="minorEastAsia" w:eastAsiaTheme="minorEastAsia" w:cstheme="minorEastAsia"/>
                <w:color w:val="auto"/>
                <w:szCs w:val="24"/>
              </w:rPr>
              <w:t>⑤未提供对应响应方案的，得0分。</w:t>
            </w:r>
          </w:p>
        </w:tc>
      </w:tr>
      <w:tr w14:paraId="2738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000" w:type="pct"/>
            <w:gridSpan w:val="4"/>
            <w:vAlign w:val="center"/>
          </w:tcPr>
          <w:p w14:paraId="7E0FB2CD">
            <w:pPr>
              <w:jc w:val="left"/>
              <w:rPr>
                <w:rFonts w:ascii="仿宋_GB2312" w:hAnsi="宋体" w:eastAsia="仿宋_GB2312" w:cs="宋体"/>
                <w:bCs/>
                <w:color w:val="auto"/>
                <w:sz w:val="24"/>
                <w:highlight w:val="none"/>
                <w:lang w:val="zh-CN"/>
              </w:rPr>
            </w:pPr>
            <w:r>
              <w:rPr>
                <w:rFonts w:hint="eastAsia" w:ascii="仿宋_GB2312" w:hAnsi="宋体" w:eastAsia="仿宋_GB2312" w:cs="宋体"/>
                <w:bCs/>
                <w:color w:val="auto"/>
                <w:sz w:val="24"/>
                <w:highlight w:val="none"/>
                <w:lang w:val="zh-CN"/>
              </w:rPr>
              <w:t>提示：请勿提供虚假资料进行投标。在投标人中标后，需在中标结果公示后的三个工作日内，按照招标文件要求进行履约能力的审查。</w:t>
            </w:r>
          </w:p>
        </w:tc>
      </w:tr>
    </w:tbl>
    <w:p w14:paraId="1D1F63B2">
      <w:pPr>
        <w:tabs>
          <w:tab w:val="left" w:pos="8280"/>
        </w:tabs>
        <w:spacing w:line="360" w:lineRule="auto"/>
        <w:jc w:val="both"/>
        <w:rPr>
          <w:rFonts w:hint="eastAsia" w:ascii="仿宋_GB2312" w:eastAsia="仿宋_GB2312"/>
          <w:b/>
          <w:color w:val="auto"/>
          <w:sz w:val="32"/>
          <w:szCs w:val="32"/>
        </w:rPr>
      </w:pPr>
    </w:p>
    <w:p w14:paraId="0497E744">
      <w:pPr>
        <w:tabs>
          <w:tab w:val="left" w:pos="8280"/>
        </w:tabs>
        <w:spacing w:line="360" w:lineRule="auto"/>
        <w:jc w:val="center"/>
        <w:rPr>
          <w:rFonts w:hint="eastAsia" w:ascii="仿宋_GB2312" w:eastAsia="仿宋_GB2312"/>
          <w:b/>
          <w:color w:val="auto"/>
          <w:sz w:val="32"/>
          <w:szCs w:val="32"/>
        </w:rPr>
      </w:pPr>
    </w:p>
    <w:p w14:paraId="52922FB7">
      <w:pPr>
        <w:tabs>
          <w:tab w:val="left" w:pos="8280"/>
        </w:tabs>
        <w:spacing w:line="360" w:lineRule="auto"/>
        <w:jc w:val="center"/>
        <w:rPr>
          <w:rFonts w:hint="eastAsia" w:ascii="仿宋_GB2312" w:eastAsia="仿宋_GB2312"/>
          <w:b/>
          <w:color w:val="auto"/>
          <w:sz w:val="32"/>
          <w:szCs w:val="32"/>
        </w:rPr>
      </w:pPr>
    </w:p>
    <w:p w14:paraId="5F94E5DC">
      <w:pPr>
        <w:tabs>
          <w:tab w:val="left" w:pos="8280"/>
        </w:tabs>
        <w:spacing w:line="360" w:lineRule="auto"/>
        <w:jc w:val="center"/>
        <w:rPr>
          <w:rFonts w:hint="eastAsia" w:ascii="仿宋_GB2312" w:eastAsia="仿宋_GB2312"/>
          <w:b/>
          <w:color w:val="auto"/>
          <w:sz w:val="32"/>
          <w:szCs w:val="32"/>
        </w:rPr>
      </w:pPr>
    </w:p>
    <w:p w14:paraId="697A5909">
      <w:pPr>
        <w:tabs>
          <w:tab w:val="left" w:pos="8280"/>
        </w:tabs>
        <w:spacing w:line="360" w:lineRule="auto"/>
        <w:jc w:val="center"/>
        <w:rPr>
          <w:rFonts w:hint="eastAsia" w:ascii="仿宋_GB2312" w:eastAsia="仿宋_GB2312"/>
          <w:b/>
          <w:color w:val="auto"/>
          <w:sz w:val="32"/>
          <w:szCs w:val="32"/>
        </w:rPr>
      </w:pPr>
    </w:p>
    <w:p w14:paraId="3F04C2B0">
      <w:pPr>
        <w:tabs>
          <w:tab w:val="left" w:pos="8280"/>
        </w:tabs>
        <w:spacing w:line="360" w:lineRule="auto"/>
        <w:jc w:val="center"/>
        <w:rPr>
          <w:rFonts w:hint="eastAsia" w:ascii="仿宋_GB2312" w:eastAsia="仿宋_GB2312"/>
          <w:b/>
          <w:color w:val="auto"/>
          <w:sz w:val="32"/>
          <w:szCs w:val="32"/>
        </w:rPr>
      </w:pPr>
    </w:p>
    <w:p w14:paraId="0F38F358">
      <w:pPr>
        <w:tabs>
          <w:tab w:val="left" w:pos="8280"/>
        </w:tabs>
        <w:spacing w:line="360" w:lineRule="auto"/>
        <w:jc w:val="center"/>
        <w:rPr>
          <w:rFonts w:hint="eastAsia" w:ascii="仿宋_GB2312" w:eastAsia="仿宋_GB2312"/>
          <w:b/>
          <w:color w:val="auto"/>
          <w:sz w:val="32"/>
          <w:szCs w:val="32"/>
        </w:rPr>
      </w:pPr>
    </w:p>
    <w:p w14:paraId="48E8703B">
      <w:pPr>
        <w:tabs>
          <w:tab w:val="left" w:pos="8280"/>
        </w:tabs>
        <w:spacing w:line="360" w:lineRule="auto"/>
        <w:jc w:val="center"/>
        <w:rPr>
          <w:rFonts w:hint="eastAsia" w:ascii="仿宋_GB2312" w:eastAsia="仿宋_GB2312"/>
          <w:b/>
          <w:color w:val="auto"/>
          <w:sz w:val="32"/>
          <w:szCs w:val="32"/>
        </w:rPr>
      </w:pPr>
    </w:p>
    <w:p w14:paraId="1E71667C">
      <w:pPr>
        <w:tabs>
          <w:tab w:val="left" w:pos="8280"/>
        </w:tabs>
        <w:spacing w:line="360" w:lineRule="auto"/>
        <w:jc w:val="center"/>
        <w:rPr>
          <w:rFonts w:hint="eastAsia" w:ascii="仿宋_GB2312" w:eastAsia="仿宋_GB2312"/>
          <w:b/>
          <w:color w:val="auto"/>
          <w:sz w:val="32"/>
          <w:szCs w:val="32"/>
        </w:rPr>
      </w:pPr>
    </w:p>
    <w:p w14:paraId="0F3834E9">
      <w:pPr>
        <w:tabs>
          <w:tab w:val="left" w:pos="8280"/>
        </w:tabs>
        <w:spacing w:line="360" w:lineRule="auto"/>
        <w:jc w:val="center"/>
        <w:rPr>
          <w:rFonts w:hint="eastAsia" w:ascii="仿宋_GB2312" w:eastAsia="仿宋_GB2312"/>
          <w:b/>
          <w:color w:val="auto"/>
          <w:sz w:val="32"/>
          <w:szCs w:val="32"/>
        </w:rPr>
      </w:pPr>
    </w:p>
    <w:p w14:paraId="350A7B7F">
      <w:pPr>
        <w:tabs>
          <w:tab w:val="left" w:pos="8280"/>
        </w:tabs>
        <w:spacing w:line="360" w:lineRule="auto"/>
        <w:jc w:val="center"/>
        <w:rPr>
          <w:rFonts w:hint="eastAsia" w:ascii="仿宋_GB2312" w:eastAsia="仿宋_GB2312"/>
          <w:b/>
          <w:color w:val="auto"/>
          <w:sz w:val="32"/>
          <w:szCs w:val="32"/>
        </w:rPr>
      </w:pPr>
    </w:p>
    <w:p w14:paraId="48306FBC">
      <w:pPr>
        <w:tabs>
          <w:tab w:val="left" w:pos="8280"/>
        </w:tabs>
        <w:spacing w:line="360" w:lineRule="auto"/>
        <w:jc w:val="center"/>
        <w:rPr>
          <w:rFonts w:hint="eastAsia" w:ascii="仿宋_GB2312" w:eastAsia="仿宋_GB2312"/>
          <w:b/>
          <w:color w:val="auto"/>
          <w:sz w:val="32"/>
          <w:szCs w:val="32"/>
        </w:rPr>
      </w:pPr>
    </w:p>
    <w:p w14:paraId="6945EDBE">
      <w:pPr>
        <w:tabs>
          <w:tab w:val="left" w:pos="8280"/>
        </w:tabs>
        <w:spacing w:line="360" w:lineRule="auto"/>
        <w:jc w:val="center"/>
        <w:rPr>
          <w:rFonts w:hint="eastAsia" w:ascii="仿宋_GB2312" w:eastAsia="仿宋_GB2312"/>
          <w:b/>
          <w:color w:val="auto"/>
          <w:sz w:val="32"/>
          <w:szCs w:val="32"/>
        </w:rPr>
      </w:pPr>
    </w:p>
    <w:p w14:paraId="3EDEBD72">
      <w:pPr>
        <w:tabs>
          <w:tab w:val="left" w:pos="8280"/>
        </w:tabs>
        <w:spacing w:line="360" w:lineRule="auto"/>
        <w:jc w:val="center"/>
        <w:rPr>
          <w:rFonts w:hint="eastAsia" w:ascii="仿宋_GB2312" w:eastAsia="仿宋_GB2312"/>
          <w:b/>
          <w:color w:val="auto"/>
          <w:sz w:val="32"/>
          <w:szCs w:val="32"/>
        </w:rPr>
      </w:pPr>
    </w:p>
    <w:p w14:paraId="74C871AA">
      <w:pPr>
        <w:tabs>
          <w:tab w:val="left" w:pos="8280"/>
        </w:tabs>
        <w:spacing w:line="360" w:lineRule="auto"/>
        <w:jc w:val="center"/>
        <w:rPr>
          <w:rFonts w:hint="eastAsia" w:ascii="仿宋_GB2312" w:eastAsia="仿宋_GB2312"/>
          <w:b/>
          <w:color w:val="auto"/>
          <w:sz w:val="32"/>
          <w:szCs w:val="32"/>
        </w:rPr>
      </w:pPr>
    </w:p>
    <w:p w14:paraId="0E4AF504">
      <w:pPr>
        <w:tabs>
          <w:tab w:val="left" w:pos="8280"/>
        </w:tabs>
        <w:spacing w:line="360" w:lineRule="auto"/>
        <w:jc w:val="center"/>
        <w:rPr>
          <w:rFonts w:ascii="仿宋_GB2312" w:hAnsi="宋体" w:eastAsia="仿宋_GB2312"/>
          <w:b/>
          <w:color w:val="auto"/>
          <w:sz w:val="32"/>
          <w:szCs w:val="32"/>
        </w:rPr>
      </w:pPr>
      <w:r>
        <w:rPr>
          <w:rFonts w:hint="eastAsia" w:ascii="仿宋_GB2312" w:eastAsia="仿宋_GB2312"/>
          <w:b/>
          <w:color w:val="auto"/>
          <w:sz w:val="32"/>
          <w:szCs w:val="32"/>
        </w:rPr>
        <w:t>五、</w:t>
      </w:r>
      <w:r>
        <w:rPr>
          <w:rFonts w:hint="eastAsia" w:ascii="仿宋_GB2312" w:hAnsi="宋体" w:eastAsia="仿宋_GB2312"/>
          <w:b/>
          <w:color w:val="auto"/>
          <w:sz w:val="32"/>
          <w:szCs w:val="32"/>
        </w:rPr>
        <w:t>报价文件主要内容和格式</w:t>
      </w:r>
    </w:p>
    <w:p w14:paraId="753DF384">
      <w:pPr>
        <w:tabs>
          <w:tab w:val="left" w:pos="8280"/>
        </w:tabs>
        <w:spacing w:line="360" w:lineRule="auto"/>
        <w:jc w:val="center"/>
        <w:rPr>
          <w:rFonts w:ascii="仿宋_GB2312" w:hAnsi="宋体" w:eastAsia="仿宋_GB2312"/>
          <w:b/>
          <w:color w:val="auto"/>
          <w:sz w:val="32"/>
          <w:szCs w:val="32"/>
        </w:rPr>
      </w:pPr>
    </w:p>
    <w:p w14:paraId="414549B9">
      <w:pPr>
        <w:tabs>
          <w:tab w:val="left" w:pos="8280"/>
        </w:tabs>
        <w:spacing w:line="360"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rPr>
        <w:t>（一）封面格式：</w:t>
      </w:r>
    </w:p>
    <w:p w14:paraId="2C77837D">
      <w:pPr>
        <w:tabs>
          <w:tab w:val="left" w:pos="8280"/>
        </w:tabs>
        <w:spacing w:line="360" w:lineRule="auto"/>
        <w:jc w:val="center"/>
        <w:rPr>
          <w:rFonts w:ascii="仿宋_GB2312" w:hAnsi="宋体" w:eastAsia="仿宋_GB2312"/>
          <w:b/>
          <w:color w:val="auto"/>
          <w:sz w:val="32"/>
          <w:szCs w:val="32"/>
        </w:rPr>
      </w:pPr>
    </w:p>
    <w:p w14:paraId="65CAC5C0">
      <w:pPr>
        <w:tabs>
          <w:tab w:val="left" w:pos="8280"/>
        </w:tabs>
        <w:spacing w:line="360" w:lineRule="auto"/>
        <w:jc w:val="center"/>
        <w:rPr>
          <w:rFonts w:ascii="仿宋_GB2312" w:hAnsi="宋体" w:eastAsia="仿宋_GB2312"/>
          <w:b/>
          <w:color w:val="auto"/>
          <w:sz w:val="32"/>
          <w:szCs w:val="32"/>
        </w:rPr>
      </w:pPr>
    </w:p>
    <w:p w14:paraId="5BE19D8E">
      <w:pPr>
        <w:tabs>
          <w:tab w:val="left" w:pos="8280"/>
        </w:tabs>
        <w:spacing w:line="360" w:lineRule="auto"/>
        <w:jc w:val="center"/>
        <w:rPr>
          <w:rFonts w:ascii="仿宋_GB2312" w:hAnsi="宋体" w:eastAsia="仿宋_GB2312"/>
          <w:b/>
          <w:color w:val="auto"/>
          <w:sz w:val="32"/>
          <w:szCs w:val="32"/>
        </w:rPr>
      </w:pPr>
    </w:p>
    <w:p w14:paraId="4367A39D">
      <w:pPr>
        <w:tabs>
          <w:tab w:val="left" w:pos="8280"/>
        </w:tabs>
        <w:spacing w:line="360" w:lineRule="auto"/>
        <w:jc w:val="center"/>
        <w:rPr>
          <w:rFonts w:ascii="仿宋_GB2312" w:hAnsi="宋体" w:eastAsia="仿宋_GB2312"/>
          <w:b/>
          <w:color w:val="auto"/>
          <w:sz w:val="32"/>
          <w:szCs w:val="32"/>
        </w:rPr>
      </w:pPr>
    </w:p>
    <w:p w14:paraId="661ED99D">
      <w:pPr>
        <w:widowControl/>
        <w:tabs>
          <w:tab w:val="left" w:pos="8120"/>
        </w:tabs>
        <w:ind w:firstLine="866" w:firstLineChars="196"/>
        <w:jc w:val="center"/>
        <w:rPr>
          <w:rFonts w:ascii="仿宋_GB2312" w:eastAsia="仿宋_GB2312"/>
          <w:b/>
          <w:color w:val="auto"/>
          <w:sz w:val="44"/>
          <w:szCs w:val="44"/>
          <w:highlight w:val="none"/>
          <w:lang w:val="zh-CN"/>
        </w:rPr>
      </w:pPr>
      <w:r>
        <w:rPr>
          <w:rFonts w:hint="eastAsia" w:ascii="仿宋_GB2312" w:eastAsia="仿宋_GB2312"/>
          <w:b/>
          <w:color w:val="auto"/>
          <w:sz w:val="44"/>
          <w:szCs w:val="44"/>
          <w:highlight w:val="none"/>
          <w:lang w:val="zh-CN"/>
        </w:rPr>
        <w:t>东莞市社会保险基金管理中心XXXXXXXXXXXXX项目（</w:t>
      </w:r>
      <w:r>
        <w:rPr>
          <w:rFonts w:hint="eastAsia" w:ascii="仿宋_GB2312" w:eastAsia="仿宋_GB2312"/>
          <w:b/>
          <w:color w:val="auto"/>
          <w:sz w:val="44"/>
          <w:szCs w:val="44"/>
          <w:highlight w:val="none"/>
          <w:lang w:val="en-US" w:eastAsia="zh-CN"/>
        </w:rPr>
        <w:t>二次</w:t>
      </w:r>
      <w:r>
        <w:rPr>
          <w:rFonts w:hint="eastAsia" w:ascii="仿宋_GB2312" w:eastAsia="仿宋_GB2312"/>
          <w:b/>
          <w:color w:val="auto"/>
          <w:sz w:val="44"/>
          <w:szCs w:val="44"/>
          <w:highlight w:val="none"/>
          <w:lang w:val="zh-CN"/>
        </w:rPr>
        <w:t>）</w:t>
      </w:r>
      <w:r>
        <w:rPr>
          <w:rFonts w:hint="eastAsia" w:ascii="仿宋_GB2312" w:hAnsi="宋体" w:eastAsia="仿宋_GB2312"/>
          <w:b/>
          <w:color w:val="auto"/>
          <w:sz w:val="44"/>
          <w:szCs w:val="44"/>
          <w:highlight w:val="none"/>
        </w:rPr>
        <w:t>议价比价采购文件</w:t>
      </w:r>
    </w:p>
    <w:p w14:paraId="174EBE33">
      <w:pPr>
        <w:tabs>
          <w:tab w:val="left" w:pos="8280"/>
        </w:tabs>
        <w:spacing w:line="360" w:lineRule="auto"/>
        <w:jc w:val="center"/>
        <w:rPr>
          <w:rFonts w:ascii="仿宋_GB2312" w:hAnsi="宋体" w:eastAsia="仿宋_GB2312"/>
          <w:b/>
          <w:color w:val="auto"/>
          <w:sz w:val="32"/>
          <w:szCs w:val="32"/>
        </w:rPr>
      </w:pPr>
    </w:p>
    <w:p w14:paraId="11D6245E">
      <w:pPr>
        <w:tabs>
          <w:tab w:val="left" w:pos="275"/>
          <w:tab w:val="left" w:pos="8280"/>
        </w:tabs>
        <w:spacing w:line="360" w:lineRule="auto"/>
        <w:rPr>
          <w:rFonts w:ascii="仿宋_GB2312" w:hAnsi="宋体" w:eastAsia="仿宋_GB2312"/>
          <w:b/>
          <w:color w:val="auto"/>
          <w:sz w:val="32"/>
          <w:szCs w:val="32"/>
        </w:rPr>
      </w:pPr>
      <w:r>
        <w:rPr>
          <w:rFonts w:hint="eastAsia" w:ascii="仿宋_GB2312" w:hAnsi="宋体" w:eastAsia="仿宋_GB2312"/>
          <w:b/>
          <w:color w:val="auto"/>
          <w:sz w:val="32"/>
          <w:szCs w:val="32"/>
        </w:rPr>
        <w:tab/>
      </w:r>
    </w:p>
    <w:p w14:paraId="55222191">
      <w:pPr>
        <w:tabs>
          <w:tab w:val="left" w:pos="765"/>
          <w:tab w:val="left" w:pos="8280"/>
        </w:tabs>
        <w:spacing w:line="360" w:lineRule="auto"/>
        <w:rPr>
          <w:rFonts w:ascii="仿宋_GB2312" w:hAnsi="宋体" w:eastAsia="仿宋_GB2312"/>
          <w:b/>
          <w:color w:val="auto"/>
          <w:sz w:val="32"/>
          <w:szCs w:val="32"/>
        </w:rPr>
      </w:pPr>
      <w:r>
        <w:rPr>
          <w:rFonts w:hint="eastAsia" w:ascii="仿宋_GB2312" w:hAnsi="宋体" w:eastAsia="仿宋_GB2312"/>
          <w:b/>
          <w:color w:val="auto"/>
          <w:sz w:val="32"/>
          <w:szCs w:val="32"/>
        </w:rPr>
        <w:tab/>
      </w:r>
    </w:p>
    <w:p w14:paraId="4A3226F1">
      <w:pPr>
        <w:tabs>
          <w:tab w:val="left" w:pos="765"/>
          <w:tab w:val="left" w:pos="8280"/>
        </w:tabs>
        <w:spacing w:line="360" w:lineRule="auto"/>
        <w:ind w:firstLine="315" w:firstLineChars="98"/>
        <w:rPr>
          <w:rFonts w:ascii="仿宋_GB2312" w:hAnsi="宋体" w:eastAsia="仿宋_GB2312"/>
          <w:b/>
          <w:color w:val="auto"/>
          <w:sz w:val="32"/>
          <w:szCs w:val="32"/>
        </w:rPr>
      </w:pPr>
      <w:r>
        <w:rPr>
          <w:rFonts w:hint="eastAsia" w:ascii="仿宋_GB2312" w:hAnsi="宋体" w:eastAsia="仿宋_GB2312"/>
          <w:b/>
          <w:color w:val="auto"/>
          <w:sz w:val="32"/>
          <w:szCs w:val="32"/>
        </w:rPr>
        <w:t>报价文件</w:t>
      </w:r>
    </w:p>
    <w:p w14:paraId="02B56151">
      <w:pPr>
        <w:tabs>
          <w:tab w:val="left" w:pos="765"/>
          <w:tab w:val="left" w:pos="8280"/>
        </w:tabs>
        <w:spacing w:line="360" w:lineRule="auto"/>
        <w:ind w:firstLine="315" w:firstLineChars="98"/>
        <w:rPr>
          <w:rFonts w:ascii="仿宋_GB2312" w:hAnsi="宋体" w:eastAsia="仿宋_GB2312"/>
          <w:b/>
          <w:color w:val="auto"/>
          <w:sz w:val="32"/>
          <w:szCs w:val="32"/>
        </w:rPr>
      </w:pPr>
      <w:r>
        <w:rPr>
          <w:rFonts w:hint="eastAsia" w:ascii="仿宋_GB2312" w:hAnsi="宋体" w:eastAsia="仿宋_GB2312"/>
          <w:b/>
          <w:color w:val="auto"/>
          <w:sz w:val="32"/>
          <w:szCs w:val="32"/>
        </w:rPr>
        <w:t>递交人（公章）：</w:t>
      </w:r>
      <w:r>
        <w:rPr>
          <w:rFonts w:hint="eastAsia" w:ascii="仿宋_GB2312" w:hAnsi="宋体" w:eastAsia="仿宋_GB2312"/>
          <w:b/>
          <w:color w:val="auto"/>
          <w:sz w:val="32"/>
          <w:szCs w:val="32"/>
          <w:u w:val="single"/>
        </w:rPr>
        <w:t xml:space="preserve">                                </w:t>
      </w:r>
    </w:p>
    <w:p w14:paraId="3324E604">
      <w:pPr>
        <w:tabs>
          <w:tab w:val="left" w:pos="8280"/>
        </w:tabs>
        <w:spacing w:line="360" w:lineRule="auto"/>
        <w:jc w:val="center"/>
        <w:rPr>
          <w:rFonts w:ascii="仿宋_GB2312" w:hAnsi="宋体" w:eastAsia="仿宋_GB2312"/>
          <w:b/>
          <w:color w:val="auto"/>
          <w:sz w:val="32"/>
          <w:szCs w:val="32"/>
        </w:rPr>
      </w:pPr>
    </w:p>
    <w:p w14:paraId="5556489F">
      <w:pPr>
        <w:tabs>
          <w:tab w:val="left" w:pos="350"/>
          <w:tab w:val="left" w:pos="8280"/>
        </w:tabs>
        <w:spacing w:line="360" w:lineRule="auto"/>
        <w:rPr>
          <w:rFonts w:ascii="仿宋_GB2312" w:hAnsi="宋体" w:eastAsia="仿宋_GB2312"/>
          <w:b/>
          <w:color w:val="auto"/>
          <w:sz w:val="32"/>
          <w:szCs w:val="32"/>
        </w:rPr>
      </w:pPr>
      <w:r>
        <w:rPr>
          <w:rFonts w:hint="eastAsia" w:ascii="仿宋_GB2312" w:hAnsi="宋体" w:eastAsia="仿宋_GB2312"/>
          <w:b/>
          <w:color w:val="auto"/>
          <w:sz w:val="32"/>
          <w:szCs w:val="32"/>
        </w:rPr>
        <w:tab/>
      </w:r>
      <w:r>
        <w:rPr>
          <w:rFonts w:hint="eastAsia" w:ascii="仿宋_GB2312" w:hAnsi="宋体" w:eastAsia="仿宋_GB2312"/>
          <w:b/>
          <w:color w:val="auto"/>
          <w:sz w:val="32"/>
          <w:szCs w:val="32"/>
        </w:rPr>
        <w:t>递交人法定代表人</w:t>
      </w:r>
    </w:p>
    <w:p w14:paraId="3446B904">
      <w:pPr>
        <w:tabs>
          <w:tab w:val="left" w:pos="840"/>
          <w:tab w:val="left" w:pos="8280"/>
        </w:tabs>
        <w:spacing w:line="360" w:lineRule="auto"/>
        <w:ind w:firstLine="315" w:firstLineChars="98"/>
        <w:rPr>
          <w:rFonts w:ascii="仿宋_GB2312" w:hAnsi="宋体" w:eastAsia="仿宋_GB2312"/>
          <w:b/>
          <w:color w:val="auto"/>
          <w:sz w:val="32"/>
          <w:szCs w:val="32"/>
        </w:rPr>
      </w:pPr>
      <w:r>
        <w:rPr>
          <w:rFonts w:hint="eastAsia" w:ascii="仿宋_GB2312" w:hAnsi="宋体" w:eastAsia="仿宋_GB2312"/>
          <w:b/>
          <w:color w:val="auto"/>
          <w:sz w:val="32"/>
          <w:szCs w:val="32"/>
        </w:rPr>
        <w:t>或其委托人（签字）：</w:t>
      </w:r>
      <w:r>
        <w:rPr>
          <w:rFonts w:hint="eastAsia" w:ascii="仿宋_GB2312" w:hAnsi="宋体" w:eastAsia="仿宋_GB2312"/>
          <w:b/>
          <w:color w:val="auto"/>
          <w:sz w:val="32"/>
          <w:szCs w:val="32"/>
          <w:u w:val="single"/>
        </w:rPr>
        <w:t xml:space="preserve">                            </w:t>
      </w:r>
    </w:p>
    <w:p w14:paraId="712DE059">
      <w:pPr>
        <w:tabs>
          <w:tab w:val="left" w:pos="8280"/>
        </w:tabs>
        <w:spacing w:line="360" w:lineRule="auto"/>
        <w:jc w:val="center"/>
        <w:rPr>
          <w:rFonts w:ascii="仿宋_GB2312" w:hAnsi="宋体" w:eastAsia="仿宋_GB2312"/>
          <w:b/>
          <w:color w:val="auto"/>
          <w:sz w:val="32"/>
          <w:szCs w:val="32"/>
        </w:rPr>
      </w:pPr>
    </w:p>
    <w:p w14:paraId="3AB7893E">
      <w:pPr>
        <w:tabs>
          <w:tab w:val="left" w:pos="8280"/>
        </w:tabs>
        <w:spacing w:line="360" w:lineRule="auto"/>
        <w:jc w:val="center"/>
        <w:rPr>
          <w:rFonts w:ascii="仿宋_GB2312" w:hAnsi="宋体" w:eastAsia="仿宋_GB2312"/>
          <w:b/>
          <w:color w:val="auto"/>
          <w:sz w:val="32"/>
          <w:szCs w:val="32"/>
        </w:rPr>
      </w:pPr>
    </w:p>
    <w:p w14:paraId="2E4393A2">
      <w:pPr>
        <w:tabs>
          <w:tab w:val="left" w:pos="8280"/>
        </w:tabs>
        <w:spacing w:line="360"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rPr>
        <w:t>年     月     日</w:t>
      </w:r>
    </w:p>
    <w:p w14:paraId="61D20B19">
      <w:pPr>
        <w:rPr>
          <w:rFonts w:ascii="仿宋_GB2312" w:hAnsi="宋体" w:eastAsia="仿宋_GB2312"/>
          <w:b/>
          <w:color w:val="auto"/>
          <w:sz w:val="32"/>
          <w:szCs w:val="32"/>
        </w:rPr>
      </w:pPr>
      <w:r>
        <w:rPr>
          <w:rFonts w:ascii="仿宋_GB2312" w:hAnsi="宋体" w:eastAsia="仿宋_GB2312"/>
          <w:b/>
          <w:color w:val="auto"/>
          <w:sz w:val="32"/>
          <w:szCs w:val="32"/>
        </w:rPr>
        <w:br w:type="page"/>
      </w:r>
    </w:p>
    <w:p w14:paraId="5CDFA172">
      <w:pPr>
        <w:autoSpaceDE w:val="0"/>
        <w:autoSpaceDN w:val="0"/>
        <w:adjustRightInd w:val="0"/>
        <w:spacing w:line="360" w:lineRule="auto"/>
        <w:jc w:val="center"/>
        <w:rPr>
          <w:rFonts w:ascii="仿宋_GB2312" w:eastAsia="仿宋_GB2312"/>
          <w:b/>
          <w:color w:val="auto"/>
          <w:szCs w:val="21"/>
          <w:lang w:val="zh-CN"/>
        </w:rPr>
      </w:pPr>
      <w:r>
        <w:rPr>
          <w:rFonts w:hint="eastAsia" w:ascii="仿宋_GB2312" w:eastAsia="仿宋_GB2312"/>
          <w:b/>
          <w:color w:val="auto"/>
          <w:sz w:val="32"/>
          <w:szCs w:val="32"/>
          <w:lang w:val="zh-CN"/>
        </w:rPr>
        <w:t>（二）报价申请函</w:t>
      </w:r>
    </w:p>
    <w:p w14:paraId="075ADD03">
      <w:pPr>
        <w:autoSpaceDE w:val="0"/>
        <w:autoSpaceDN w:val="0"/>
        <w:adjustRightInd w:val="0"/>
        <w:spacing w:line="360" w:lineRule="auto"/>
        <w:rPr>
          <w:rFonts w:ascii="仿宋_GB2312" w:eastAsia="仿宋_GB2312"/>
          <w:color w:val="auto"/>
          <w:sz w:val="24"/>
          <w:lang w:val="zh-CN"/>
        </w:rPr>
      </w:pPr>
      <w:r>
        <w:rPr>
          <w:rFonts w:hint="eastAsia" w:ascii="仿宋_GB2312" w:eastAsia="仿宋_GB2312"/>
          <w:color w:val="auto"/>
          <w:sz w:val="24"/>
          <w:lang w:val="zh-CN"/>
        </w:rPr>
        <w:t>致：东莞市社会保险基金管理中心：</w:t>
      </w:r>
    </w:p>
    <w:p w14:paraId="33981AEB">
      <w:pPr>
        <w:tabs>
          <w:tab w:val="left" w:pos="8280"/>
        </w:tabs>
        <w:spacing w:line="360" w:lineRule="auto"/>
        <w:ind w:firstLine="470" w:firstLineChars="196"/>
        <w:jc w:val="left"/>
        <w:rPr>
          <w:rFonts w:ascii="仿宋_GB2312" w:eastAsia="仿宋_GB2312"/>
          <w:b/>
          <w:color w:val="auto"/>
          <w:sz w:val="32"/>
          <w:szCs w:val="32"/>
          <w:lang w:val="zh-CN"/>
        </w:rPr>
      </w:pPr>
      <w:r>
        <w:rPr>
          <w:rFonts w:hint="eastAsia" w:ascii="仿宋_GB2312" w:eastAsia="仿宋_GB2312"/>
          <w:color w:val="auto"/>
          <w:sz w:val="24"/>
          <w:lang w:val="zh-CN"/>
        </w:rPr>
        <w:t>根据贵方</w:t>
      </w:r>
      <w:r>
        <w:rPr>
          <w:rFonts w:hint="eastAsia" w:ascii="仿宋_GB2312" w:eastAsia="仿宋_GB2312"/>
          <w:b/>
          <w:color w:val="auto"/>
          <w:sz w:val="24"/>
          <w:highlight w:val="none"/>
          <w:lang w:val="zh-CN"/>
        </w:rPr>
        <w:t>东莞市社会保险基金管理中心XXXXXXXXXXXX项目（</w:t>
      </w:r>
      <w:r>
        <w:rPr>
          <w:rFonts w:hint="eastAsia" w:ascii="仿宋_GB2312" w:eastAsia="仿宋_GB2312"/>
          <w:b/>
          <w:color w:val="auto"/>
          <w:sz w:val="24"/>
          <w:highlight w:val="none"/>
          <w:lang w:val="en-US" w:eastAsia="zh-CN"/>
        </w:rPr>
        <w:t>二次</w:t>
      </w:r>
      <w:r>
        <w:rPr>
          <w:rFonts w:hint="eastAsia" w:ascii="仿宋_GB2312" w:eastAsia="仿宋_GB2312"/>
          <w:b/>
          <w:color w:val="auto"/>
          <w:sz w:val="24"/>
          <w:highlight w:val="none"/>
          <w:lang w:val="zh-CN"/>
        </w:rPr>
        <w:t>）</w:t>
      </w:r>
      <w:r>
        <w:rPr>
          <w:rFonts w:hint="eastAsia" w:ascii="仿宋_GB2312" w:eastAsia="仿宋_GB2312"/>
          <w:color w:val="auto"/>
          <w:sz w:val="24"/>
          <w:lang w:val="zh-CN"/>
        </w:rPr>
        <w:t>议价比价采购文件，正式授权下述签字人</w:t>
      </w:r>
      <w:r>
        <w:rPr>
          <w:rFonts w:hint="eastAsia" w:ascii="仿宋_GB2312" w:eastAsia="仿宋_GB2312"/>
          <w:color w:val="auto"/>
          <w:sz w:val="24"/>
          <w:u w:val="single"/>
          <w:lang w:val="zh-CN"/>
        </w:rPr>
        <w:t xml:space="preserve">          </w:t>
      </w:r>
      <w:r>
        <w:rPr>
          <w:rFonts w:hint="eastAsia" w:ascii="仿宋_GB2312" w:eastAsia="仿宋_GB2312"/>
          <w:color w:val="auto"/>
          <w:sz w:val="24"/>
          <w:lang w:val="zh-CN"/>
        </w:rPr>
        <w:t>(姓名和职务)代表</w:t>
      </w:r>
      <w:r>
        <w:rPr>
          <w:rFonts w:hint="eastAsia" w:ascii="仿宋_GB2312" w:eastAsia="仿宋_GB2312"/>
          <w:color w:val="auto"/>
          <w:sz w:val="24"/>
          <w:u w:val="single"/>
          <w:lang w:val="zh-CN"/>
        </w:rPr>
        <w:t xml:space="preserve">           </w:t>
      </w:r>
      <w:r>
        <w:rPr>
          <w:rFonts w:hint="eastAsia" w:ascii="仿宋_GB2312" w:eastAsia="仿宋_GB2312"/>
          <w:color w:val="auto"/>
          <w:sz w:val="24"/>
          <w:lang w:val="zh-CN"/>
        </w:rPr>
        <w:t>（报价供应商名称），提交文件正本一份，副本一份。</w:t>
      </w:r>
    </w:p>
    <w:p w14:paraId="5F86E29F">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据此函，签字人同意如下：</w:t>
      </w:r>
    </w:p>
    <w:p w14:paraId="4EE789DE">
      <w:pPr>
        <w:jc w:val="center"/>
        <w:rPr>
          <w:rFonts w:ascii="宋体" w:hAnsi="宋体"/>
          <w:b/>
          <w:color w:val="auto"/>
          <w:sz w:val="28"/>
          <w:szCs w:val="28"/>
        </w:rPr>
      </w:pPr>
      <w:r>
        <w:rPr>
          <w:rFonts w:hint="eastAsia" w:ascii="宋体" w:hAnsi="宋体"/>
          <w:b/>
          <w:color w:val="auto"/>
          <w:sz w:val="28"/>
          <w:szCs w:val="28"/>
        </w:rPr>
        <w:t>报价总表</w:t>
      </w:r>
    </w:p>
    <w:p w14:paraId="27FDFC20">
      <w:pPr>
        <w:autoSpaceDE w:val="0"/>
        <w:autoSpaceDN w:val="0"/>
        <w:adjustRightInd w:val="0"/>
        <w:spacing w:line="360" w:lineRule="auto"/>
        <w:rPr>
          <w:rFonts w:ascii="仿宋_GB2312" w:eastAsia="仿宋_GB2312"/>
          <w:color w:val="auto"/>
          <w:sz w:val="24"/>
          <w:lang w:val="zh-CN"/>
        </w:rPr>
      </w:pPr>
    </w:p>
    <w:p w14:paraId="3A39C48E">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1、按照议价比价采购要求的总报价为：（大写）</w:t>
      </w:r>
      <w:r>
        <w:rPr>
          <w:rFonts w:hint="eastAsia" w:ascii="仿宋_GB2312" w:eastAsia="仿宋_GB2312"/>
          <w:b/>
          <w:bCs/>
          <w:color w:val="auto"/>
          <w:sz w:val="24"/>
          <w:u w:val="single"/>
          <w:lang w:val="zh-CN"/>
        </w:rPr>
        <w:t xml:space="preserve">             </w:t>
      </w:r>
      <w:r>
        <w:rPr>
          <w:rFonts w:hint="eastAsia" w:ascii="仿宋_GB2312" w:eastAsia="仿宋_GB2312"/>
          <w:color w:val="auto"/>
          <w:sz w:val="24"/>
          <w:lang w:val="zh-CN"/>
        </w:rPr>
        <w:t>元人民币。</w:t>
      </w:r>
    </w:p>
    <w:p w14:paraId="7ADE791A">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2、我方同意提供贵方可能要求的与本次议价比价有关的任何证据或资料。</w:t>
      </w:r>
    </w:p>
    <w:p w14:paraId="6E76231F">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3、一旦成交，我方将根据议价比价采购文件的规定和我方的承诺严格履行合同。</w:t>
      </w:r>
    </w:p>
    <w:p w14:paraId="1A28D43E">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4、我方决不提供虚假材料谋取成交，决不采取不正当手段诋毁、排挤其他供应商，决不与采购人、其它供应商或者采购中心恶意串通，决不向采购人进行商业贿赂，决不拒绝有关部门监督检查或提供虚假情况，如有违反，无条件接受贵方及相关管理部门的处罚。</w:t>
      </w:r>
    </w:p>
    <w:p w14:paraId="7D44E81E">
      <w:pPr>
        <w:autoSpaceDE w:val="0"/>
        <w:autoSpaceDN w:val="0"/>
        <w:adjustRightInd w:val="0"/>
        <w:spacing w:line="360" w:lineRule="auto"/>
        <w:ind w:firstLine="420"/>
        <w:rPr>
          <w:rFonts w:ascii="仿宋_GB2312" w:eastAsia="仿宋_GB2312"/>
          <w:color w:val="auto"/>
          <w:sz w:val="24"/>
          <w:lang w:val="zh-CN"/>
        </w:rPr>
      </w:pPr>
      <w:r>
        <w:rPr>
          <w:rFonts w:hint="eastAsia" w:ascii="仿宋_GB2312" w:eastAsia="仿宋_GB2312"/>
          <w:color w:val="auto"/>
          <w:sz w:val="24"/>
          <w:lang w:val="zh-CN"/>
        </w:rPr>
        <w:t>我们的通讯地址为：</w:t>
      </w:r>
    </w:p>
    <w:p w14:paraId="1A81DC33">
      <w:pPr>
        <w:autoSpaceDE w:val="0"/>
        <w:autoSpaceDN w:val="0"/>
        <w:adjustRightInd w:val="0"/>
        <w:spacing w:line="360" w:lineRule="auto"/>
        <w:ind w:firstLine="420"/>
        <w:rPr>
          <w:rFonts w:ascii="仿宋_GB2312" w:eastAsia="仿宋_GB2312"/>
          <w:color w:val="auto"/>
          <w:sz w:val="24"/>
          <w:lang w:val="zh-CN"/>
        </w:rPr>
      </w:pPr>
    </w:p>
    <w:p w14:paraId="53BEA543">
      <w:pPr>
        <w:autoSpaceDE w:val="0"/>
        <w:autoSpaceDN w:val="0"/>
        <w:adjustRightInd w:val="0"/>
        <w:spacing w:line="360" w:lineRule="auto"/>
        <w:ind w:firstLine="420"/>
        <w:rPr>
          <w:rFonts w:ascii="仿宋_GB2312" w:eastAsia="仿宋_GB2312"/>
          <w:color w:val="auto"/>
          <w:sz w:val="24"/>
          <w:u w:val="single"/>
          <w:lang w:val="zh-CN"/>
        </w:rPr>
      </w:pPr>
      <w:r>
        <w:rPr>
          <w:rFonts w:hint="eastAsia" w:ascii="仿宋_GB2312" w:eastAsia="仿宋_GB2312"/>
          <w:color w:val="auto"/>
          <w:sz w:val="24"/>
          <w:lang w:val="zh-CN"/>
        </w:rPr>
        <w:t>地   址：</w:t>
      </w:r>
      <w:r>
        <w:rPr>
          <w:rFonts w:hint="eastAsia" w:ascii="仿宋_GB2312" w:eastAsia="仿宋_GB2312"/>
          <w:color w:val="auto"/>
          <w:sz w:val="24"/>
          <w:u w:val="single"/>
          <w:lang w:val="zh-CN"/>
        </w:rPr>
        <w:t xml:space="preserve">                          </w:t>
      </w:r>
      <w:r>
        <w:rPr>
          <w:rFonts w:hint="eastAsia" w:ascii="仿宋_GB2312" w:eastAsia="仿宋_GB2312"/>
          <w:color w:val="auto"/>
          <w:sz w:val="24"/>
          <w:lang w:val="zh-CN"/>
        </w:rPr>
        <w:t>电   话：</w:t>
      </w:r>
      <w:r>
        <w:rPr>
          <w:rFonts w:hint="eastAsia" w:ascii="仿宋_GB2312" w:eastAsia="仿宋_GB2312"/>
          <w:color w:val="auto"/>
          <w:sz w:val="24"/>
          <w:u w:val="single"/>
          <w:lang w:val="zh-CN"/>
        </w:rPr>
        <w:t xml:space="preserve">                               </w:t>
      </w:r>
    </w:p>
    <w:p w14:paraId="465BAC22">
      <w:pPr>
        <w:autoSpaceDE w:val="0"/>
        <w:autoSpaceDN w:val="0"/>
        <w:adjustRightInd w:val="0"/>
        <w:spacing w:line="360" w:lineRule="auto"/>
        <w:ind w:firstLine="420"/>
        <w:rPr>
          <w:rFonts w:ascii="仿宋_GB2312" w:eastAsia="仿宋_GB2312"/>
          <w:color w:val="auto"/>
          <w:sz w:val="24"/>
          <w:lang w:val="zh-CN"/>
        </w:rPr>
      </w:pPr>
    </w:p>
    <w:p w14:paraId="2930AAB6">
      <w:pPr>
        <w:autoSpaceDE w:val="0"/>
        <w:autoSpaceDN w:val="0"/>
        <w:adjustRightInd w:val="0"/>
        <w:spacing w:line="360" w:lineRule="auto"/>
        <w:ind w:firstLine="420"/>
        <w:rPr>
          <w:rFonts w:ascii="仿宋_GB2312" w:eastAsia="仿宋_GB2312"/>
          <w:color w:val="auto"/>
          <w:sz w:val="24"/>
        </w:rPr>
      </w:pPr>
      <w:r>
        <w:rPr>
          <w:rFonts w:hint="eastAsia" w:ascii="仿宋_GB2312" w:eastAsia="仿宋_GB2312"/>
          <w:color w:val="auto"/>
          <w:sz w:val="24"/>
          <w:lang w:val="zh-CN"/>
        </w:rPr>
        <w:t>供应商名称（章）：</w:t>
      </w:r>
      <w:r>
        <w:rPr>
          <w:rFonts w:hint="eastAsia" w:ascii="仿宋_GB2312" w:eastAsia="仿宋_GB2312"/>
          <w:color w:val="auto"/>
          <w:sz w:val="24"/>
        </w:rPr>
        <w:t xml:space="preserve">  </w:t>
      </w:r>
    </w:p>
    <w:p w14:paraId="58205DCE">
      <w:pPr>
        <w:autoSpaceDE w:val="0"/>
        <w:autoSpaceDN w:val="0"/>
        <w:adjustRightInd w:val="0"/>
        <w:spacing w:line="360" w:lineRule="auto"/>
        <w:ind w:firstLine="420"/>
        <w:rPr>
          <w:rFonts w:ascii="仿宋_GB2312" w:eastAsia="仿宋_GB2312"/>
          <w:color w:val="auto"/>
          <w:sz w:val="24"/>
        </w:rPr>
      </w:pPr>
    </w:p>
    <w:p w14:paraId="0BF851E6">
      <w:pPr>
        <w:autoSpaceDE w:val="0"/>
        <w:autoSpaceDN w:val="0"/>
        <w:adjustRightInd w:val="0"/>
        <w:spacing w:line="360" w:lineRule="auto"/>
        <w:ind w:firstLine="420"/>
        <w:rPr>
          <w:rFonts w:ascii="仿宋_GB2312" w:eastAsia="仿宋_GB2312"/>
          <w:color w:val="auto"/>
          <w:sz w:val="24"/>
        </w:rPr>
      </w:pPr>
      <w:r>
        <w:rPr>
          <w:rFonts w:hint="eastAsia" w:ascii="仿宋_GB2312" w:eastAsia="仿宋_GB2312"/>
          <w:color w:val="auto"/>
          <w:sz w:val="24"/>
          <w:lang w:val="zh-CN"/>
        </w:rPr>
        <w:t>供应商授权代表姓名（签字）：</w:t>
      </w:r>
      <w:r>
        <w:rPr>
          <w:rFonts w:hint="eastAsia" w:ascii="仿宋_GB2312" w:eastAsia="仿宋_GB2312"/>
          <w:color w:val="auto"/>
          <w:sz w:val="24"/>
          <w:u w:val="single"/>
          <w:lang w:val="zh-CN"/>
        </w:rPr>
        <w:t xml:space="preserve">             </w:t>
      </w:r>
    </w:p>
    <w:p w14:paraId="647009C3">
      <w:pPr>
        <w:autoSpaceDE w:val="0"/>
        <w:autoSpaceDN w:val="0"/>
        <w:adjustRightInd w:val="0"/>
        <w:spacing w:line="360" w:lineRule="auto"/>
        <w:ind w:firstLine="420"/>
        <w:rPr>
          <w:rFonts w:ascii="仿宋_GB2312" w:eastAsia="仿宋_GB2312"/>
          <w:color w:val="auto"/>
          <w:sz w:val="24"/>
        </w:rPr>
      </w:pPr>
      <w:r>
        <w:rPr>
          <w:rFonts w:hint="eastAsia" w:ascii="仿宋_GB2312" w:eastAsia="仿宋_GB2312"/>
          <w:color w:val="auto"/>
          <w:sz w:val="24"/>
        </w:rPr>
        <w:t xml:space="preserve">                                      </w:t>
      </w:r>
    </w:p>
    <w:p w14:paraId="137818F0">
      <w:pPr>
        <w:autoSpaceDE w:val="0"/>
        <w:autoSpaceDN w:val="0"/>
        <w:adjustRightInd w:val="0"/>
        <w:spacing w:line="360" w:lineRule="auto"/>
        <w:ind w:firstLine="420"/>
        <w:rPr>
          <w:rFonts w:ascii="仿宋_GB2312" w:eastAsia="仿宋_GB2312"/>
          <w:color w:val="auto"/>
          <w:sz w:val="24"/>
        </w:rPr>
      </w:pPr>
    </w:p>
    <w:p w14:paraId="3084F47F">
      <w:pPr>
        <w:autoSpaceDE w:val="0"/>
        <w:autoSpaceDN w:val="0"/>
        <w:adjustRightInd w:val="0"/>
        <w:spacing w:line="360" w:lineRule="auto"/>
        <w:ind w:firstLine="2520" w:firstLineChars="1050"/>
        <w:rPr>
          <w:rFonts w:ascii="仿宋_GB2312" w:eastAsia="仿宋_GB2312"/>
          <w:color w:val="auto"/>
          <w:sz w:val="24"/>
          <w:lang w:val="zh-CN"/>
        </w:rPr>
      </w:pPr>
      <w:r>
        <w:rPr>
          <w:rFonts w:hint="eastAsia" w:ascii="仿宋_GB2312" w:eastAsia="仿宋_GB2312"/>
          <w:color w:val="auto"/>
          <w:sz w:val="24"/>
        </w:rPr>
        <w:t xml:space="preserve">  </w:t>
      </w:r>
      <w:r>
        <w:rPr>
          <w:rFonts w:hint="eastAsia" w:ascii="仿宋_GB2312" w:eastAsia="仿宋_GB2312"/>
          <w:color w:val="auto"/>
          <w:sz w:val="24"/>
          <w:lang w:val="zh-CN"/>
        </w:rPr>
        <w:t>日</w:t>
      </w:r>
      <w:r>
        <w:rPr>
          <w:rFonts w:hint="eastAsia" w:ascii="仿宋_GB2312" w:eastAsia="仿宋_GB2312"/>
          <w:color w:val="auto"/>
          <w:sz w:val="24"/>
        </w:rPr>
        <w:t xml:space="preserve">   </w:t>
      </w:r>
      <w:r>
        <w:rPr>
          <w:rFonts w:hint="eastAsia" w:ascii="仿宋_GB2312" w:eastAsia="仿宋_GB2312"/>
          <w:color w:val="auto"/>
          <w:sz w:val="24"/>
          <w:lang w:val="zh-CN"/>
        </w:rPr>
        <w:t>期：</w:t>
      </w:r>
      <w:r>
        <w:rPr>
          <w:rFonts w:hint="eastAsia" w:ascii="仿宋_GB2312" w:eastAsia="仿宋_GB2312"/>
          <w:color w:val="auto"/>
          <w:sz w:val="24"/>
        </w:rPr>
        <w:t xml:space="preserve">    </w:t>
      </w:r>
      <w:r>
        <w:rPr>
          <w:rFonts w:hint="eastAsia" w:ascii="仿宋_GB2312" w:eastAsia="仿宋_GB2312"/>
          <w:color w:val="auto"/>
          <w:sz w:val="24"/>
          <w:lang w:val="zh-CN"/>
        </w:rPr>
        <w:t>年</w:t>
      </w:r>
      <w:r>
        <w:rPr>
          <w:rFonts w:hint="eastAsia" w:ascii="仿宋_GB2312" w:eastAsia="仿宋_GB2312"/>
          <w:color w:val="auto"/>
          <w:sz w:val="24"/>
        </w:rPr>
        <w:t xml:space="preserve">    </w:t>
      </w:r>
      <w:r>
        <w:rPr>
          <w:rFonts w:hint="eastAsia" w:ascii="仿宋_GB2312" w:eastAsia="仿宋_GB2312"/>
          <w:color w:val="auto"/>
          <w:sz w:val="24"/>
          <w:lang w:val="zh-CN"/>
        </w:rPr>
        <w:t>月</w:t>
      </w:r>
      <w:r>
        <w:rPr>
          <w:rFonts w:hint="eastAsia" w:ascii="仿宋_GB2312" w:eastAsia="仿宋_GB2312"/>
          <w:color w:val="auto"/>
          <w:sz w:val="24"/>
        </w:rPr>
        <w:t xml:space="preserve">    </w:t>
      </w:r>
      <w:r>
        <w:rPr>
          <w:rFonts w:hint="eastAsia" w:ascii="仿宋_GB2312" w:eastAsia="仿宋_GB2312"/>
          <w:color w:val="auto"/>
          <w:sz w:val="24"/>
          <w:lang w:val="zh-CN"/>
        </w:rPr>
        <w:t>日</w:t>
      </w:r>
    </w:p>
    <w:p w14:paraId="06A68C08">
      <w:pPr>
        <w:rPr>
          <w:rFonts w:ascii="仿宋_GB2312" w:hAnsi="宋体" w:eastAsia="仿宋_GB2312"/>
          <w:b/>
          <w:bCs/>
          <w:color w:val="auto"/>
          <w:sz w:val="32"/>
          <w:szCs w:val="32"/>
        </w:rPr>
      </w:pPr>
      <w:r>
        <w:rPr>
          <w:rFonts w:ascii="仿宋_GB2312" w:hAnsi="宋体" w:eastAsia="仿宋_GB2312"/>
          <w:b/>
          <w:bCs/>
          <w:color w:val="auto"/>
          <w:sz w:val="32"/>
          <w:szCs w:val="32"/>
        </w:rPr>
        <w:br w:type="page"/>
      </w:r>
    </w:p>
    <w:p w14:paraId="750C9D84">
      <w:pPr>
        <w:spacing w:line="360" w:lineRule="auto"/>
        <w:ind w:right="-1801" w:firstLine="3534" w:firstLineChars="1100"/>
        <w:rPr>
          <w:rFonts w:ascii="仿宋_GB2312" w:hAnsi="宋体" w:eastAsia="仿宋_GB2312"/>
          <w:b/>
          <w:bCs/>
          <w:color w:val="auto"/>
          <w:sz w:val="32"/>
          <w:szCs w:val="32"/>
        </w:rPr>
      </w:pPr>
      <w:r>
        <w:rPr>
          <w:rFonts w:hint="eastAsia" w:ascii="仿宋_GB2312" w:hAnsi="宋体" w:eastAsia="仿宋_GB2312"/>
          <w:b/>
          <w:bCs/>
          <w:color w:val="auto"/>
          <w:sz w:val="32"/>
          <w:szCs w:val="32"/>
        </w:rPr>
        <w:t>（三）议价比价报价单格式</w:t>
      </w:r>
    </w:p>
    <w:p w14:paraId="0D696F0A">
      <w:pPr>
        <w:spacing w:line="360" w:lineRule="auto"/>
        <w:ind w:right="-1801" w:firstLine="4179" w:firstLineChars="1301"/>
        <w:rPr>
          <w:rFonts w:ascii="仿宋_GB2312" w:hAnsi="宋体" w:eastAsia="仿宋_GB2312"/>
          <w:b/>
          <w:bCs/>
          <w:color w:val="auto"/>
          <w:sz w:val="32"/>
          <w:szCs w:val="32"/>
        </w:rPr>
      </w:pPr>
    </w:p>
    <w:p w14:paraId="5E29580E">
      <w:pPr>
        <w:spacing w:line="360" w:lineRule="auto"/>
        <w:ind w:right="-1801" w:firstLine="4179" w:firstLineChars="1301"/>
        <w:rPr>
          <w:rFonts w:ascii="仿宋_GB2312" w:hAnsi="宋体" w:eastAsia="仿宋_GB2312"/>
          <w:b/>
          <w:bCs/>
          <w:color w:val="auto"/>
          <w:sz w:val="32"/>
          <w:szCs w:val="32"/>
        </w:rPr>
      </w:pPr>
      <w:r>
        <w:rPr>
          <w:rFonts w:hint="eastAsia" w:ascii="仿宋_GB2312" w:hAnsi="宋体" w:eastAsia="仿宋_GB2312"/>
          <w:b/>
          <w:bCs/>
          <w:color w:val="auto"/>
          <w:sz w:val="32"/>
          <w:szCs w:val="32"/>
        </w:rPr>
        <w:t>议价比价报价单</w:t>
      </w:r>
    </w:p>
    <w:p w14:paraId="7929F564">
      <w:pPr>
        <w:spacing w:line="360" w:lineRule="auto"/>
        <w:ind w:right="-1801"/>
        <w:rPr>
          <w:rFonts w:ascii="仿宋_GB2312" w:hAnsi="宋体" w:eastAsia="仿宋_GB2312"/>
          <w:bCs/>
          <w:color w:val="auto"/>
          <w:sz w:val="24"/>
        </w:rPr>
      </w:pPr>
      <w:r>
        <w:rPr>
          <w:rFonts w:hint="eastAsia" w:ascii="仿宋_GB2312" w:hAnsi="宋体" w:eastAsia="仿宋_GB2312"/>
          <w:bCs/>
          <w:color w:val="auto"/>
          <w:sz w:val="24"/>
        </w:rPr>
        <w:t>报价方名称（盖章）：</w:t>
      </w:r>
      <w:r>
        <w:rPr>
          <w:rFonts w:hint="eastAsia" w:ascii="仿宋_GB2312" w:hAnsi="宋体" w:eastAsia="仿宋_GB2312"/>
          <w:bCs/>
          <w:color w:val="auto"/>
          <w:sz w:val="24"/>
          <w:u w:val="single"/>
        </w:rPr>
        <w:t xml:space="preserve">                   </w:t>
      </w:r>
    </w:p>
    <w:p w14:paraId="3C01E931">
      <w:pPr>
        <w:tabs>
          <w:tab w:val="left" w:pos="8280"/>
        </w:tabs>
        <w:spacing w:line="360" w:lineRule="auto"/>
        <w:jc w:val="left"/>
        <w:rPr>
          <w:rFonts w:ascii="仿宋_GB2312" w:eastAsia="仿宋_GB2312"/>
          <w:b/>
          <w:color w:val="auto"/>
          <w:sz w:val="24"/>
          <w:lang w:val="zh-CN"/>
        </w:rPr>
      </w:pPr>
      <w:r>
        <w:rPr>
          <w:rFonts w:hint="eastAsia" w:ascii="仿宋_GB2312" w:hAnsi="宋体" w:eastAsia="仿宋_GB2312"/>
          <w:bCs/>
          <w:color w:val="auto"/>
          <w:sz w:val="24"/>
        </w:rPr>
        <w:t>项目名称：</w:t>
      </w:r>
      <w:r>
        <w:rPr>
          <w:rFonts w:hint="eastAsia" w:ascii="仿宋_GB2312" w:eastAsia="仿宋_GB2312"/>
          <w:b/>
          <w:color w:val="auto"/>
          <w:sz w:val="24"/>
          <w:highlight w:val="none"/>
          <w:lang w:val="zh-CN"/>
        </w:rPr>
        <w:t>东莞市社会保险基金管理中心XXXXXXXXXXXX项目（</w:t>
      </w:r>
      <w:r>
        <w:rPr>
          <w:rFonts w:hint="eastAsia" w:ascii="仿宋_GB2312" w:eastAsia="仿宋_GB2312"/>
          <w:b/>
          <w:color w:val="auto"/>
          <w:sz w:val="24"/>
          <w:highlight w:val="none"/>
          <w:lang w:val="en-US" w:eastAsia="zh-CN"/>
        </w:rPr>
        <w:t>二次</w:t>
      </w:r>
      <w:r>
        <w:rPr>
          <w:rFonts w:hint="eastAsia" w:ascii="仿宋_GB2312" w:eastAsia="仿宋_GB2312"/>
          <w:b/>
          <w:color w:val="auto"/>
          <w:sz w:val="24"/>
          <w:highlight w:val="none"/>
          <w:lang w:val="zh-CN"/>
        </w:rPr>
        <w:t>）</w:t>
      </w:r>
    </w:p>
    <w:p w14:paraId="372E5473">
      <w:pPr>
        <w:spacing w:line="360" w:lineRule="auto"/>
        <w:ind w:right="-1801"/>
        <w:rPr>
          <w:rFonts w:ascii="仿宋_GB2312" w:hAnsi="宋体" w:eastAsia="仿宋_GB2312"/>
          <w:bCs/>
          <w:color w:val="auto"/>
          <w:sz w:val="24"/>
          <w:u w:val="single"/>
        </w:rPr>
      </w:pPr>
    </w:p>
    <w:p w14:paraId="775CDD85">
      <w:pPr>
        <w:autoSpaceDE w:val="0"/>
        <w:autoSpaceDN w:val="0"/>
        <w:spacing w:line="360" w:lineRule="auto"/>
        <w:ind w:firstLine="960" w:firstLineChars="400"/>
        <w:rPr>
          <w:rFonts w:ascii="仿宋_GB2312" w:hAnsi="宋体" w:eastAsia="仿宋_GB2312"/>
          <w:color w:val="auto"/>
          <w:sz w:val="24"/>
        </w:rPr>
      </w:pPr>
      <w:r>
        <w:rPr>
          <w:rFonts w:hint="eastAsia" w:ascii="仿宋_GB2312" w:hAnsi="宋体" w:eastAsia="仿宋_GB2312"/>
          <w:bCs/>
          <w:color w:val="auto"/>
          <w:sz w:val="24"/>
        </w:rPr>
        <w:t xml:space="preserve">              </w:t>
      </w:r>
      <w:r>
        <w:rPr>
          <w:rFonts w:hint="eastAsia" w:ascii="仿宋_GB2312" w:hAnsi="宋体" w:eastAsia="仿宋_GB2312"/>
          <w:color w:val="auto"/>
          <w:sz w:val="24"/>
        </w:rPr>
        <w:t xml:space="preserve">                         单位: 元（人民币）</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2907"/>
        <w:gridCol w:w="1293"/>
        <w:gridCol w:w="1293"/>
        <w:gridCol w:w="1293"/>
        <w:gridCol w:w="1614"/>
      </w:tblGrid>
      <w:tr w14:paraId="11FC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544B9D35">
            <w:pPr>
              <w:widowControl/>
              <w:ind w:right="-93"/>
              <w:jc w:val="center"/>
              <w:textAlignment w:val="bottom"/>
              <w:rPr>
                <w:color w:val="auto"/>
                <w:sz w:val="24"/>
              </w:rPr>
            </w:pPr>
            <w:r>
              <w:rPr>
                <w:color w:val="auto"/>
                <w:sz w:val="24"/>
              </w:rPr>
              <w:t>序号</w:t>
            </w:r>
          </w:p>
        </w:tc>
        <w:tc>
          <w:tcPr>
            <w:tcW w:w="1475" w:type="pct"/>
            <w:vAlign w:val="center"/>
          </w:tcPr>
          <w:p w14:paraId="5FB24CF7">
            <w:pPr>
              <w:widowControl/>
              <w:ind w:left="-107" w:leftChars="-51" w:right="-108"/>
              <w:jc w:val="center"/>
              <w:textAlignment w:val="bottom"/>
              <w:rPr>
                <w:color w:val="auto"/>
                <w:sz w:val="24"/>
              </w:rPr>
            </w:pPr>
            <w:r>
              <w:rPr>
                <w:rFonts w:hint="eastAsia"/>
                <w:color w:val="auto"/>
                <w:sz w:val="24"/>
              </w:rPr>
              <w:t>费用</w:t>
            </w:r>
            <w:r>
              <w:rPr>
                <w:color w:val="auto"/>
                <w:sz w:val="24"/>
              </w:rPr>
              <w:t>名称</w:t>
            </w:r>
          </w:p>
        </w:tc>
        <w:tc>
          <w:tcPr>
            <w:tcW w:w="656" w:type="pct"/>
            <w:vAlign w:val="center"/>
          </w:tcPr>
          <w:p w14:paraId="6B6C376A">
            <w:pPr>
              <w:widowControl/>
              <w:ind w:right="-108"/>
              <w:jc w:val="center"/>
              <w:textAlignment w:val="bottom"/>
              <w:rPr>
                <w:color w:val="auto"/>
                <w:sz w:val="24"/>
              </w:rPr>
            </w:pPr>
            <w:r>
              <w:rPr>
                <w:color w:val="auto"/>
                <w:sz w:val="24"/>
              </w:rPr>
              <w:t>数量</w:t>
            </w:r>
          </w:p>
        </w:tc>
        <w:tc>
          <w:tcPr>
            <w:tcW w:w="656" w:type="pct"/>
            <w:vAlign w:val="center"/>
          </w:tcPr>
          <w:p w14:paraId="04C121B9">
            <w:pPr>
              <w:widowControl/>
              <w:jc w:val="center"/>
              <w:textAlignment w:val="bottom"/>
              <w:rPr>
                <w:color w:val="auto"/>
                <w:sz w:val="24"/>
              </w:rPr>
            </w:pPr>
            <w:r>
              <w:rPr>
                <w:color w:val="auto"/>
                <w:sz w:val="24"/>
              </w:rPr>
              <w:t>单价</w:t>
            </w:r>
          </w:p>
        </w:tc>
        <w:tc>
          <w:tcPr>
            <w:tcW w:w="656" w:type="pct"/>
            <w:vAlign w:val="center"/>
          </w:tcPr>
          <w:p w14:paraId="7C3B6CF7">
            <w:pPr>
              <w:widowControl/>
              <w:ind w:right="-49"/>
              <w:jc w:val="center"/>
              <w:textAlignment w:val="bottom"/>
              <w:rPr>
                <w:color w:val="auto"/>
                <w:sz w:val="24"/>
              </w:rPr>
            </w:pPr>
            <w:r>
              <w:rPr>
                <w:color w:val="auto"/>
                <w:sz w:val="24"/>
              </w:rPr>
              <w:t>总价</w:t>
            </w:r>
          </w:p>
        </w:tc>
        <w:tc>
          <w:tcPr>
            <w:tcW w:w="819" w:type="pct"/>
            <w:vAlign w:val="center"/>
          </w:tcPr>
          <w:p w14:paraId="695CCC13">
            <w:pPr>
              <w:widowControl/>
              <w:ind w:right="-49"/>
              <w:jc w:val="center"/>
              <w:textAlignment w:val="bottom"/>
              <w:rPr>
                <w:color w:val="auto"/>
                <w:sz w:val="24"/>
              </w:rPr>
            </w:pPr>
            <w:r>
              <w:rPr>
                <w:color w:val="auto"/>
                <w:sz w:val="24"/>
              </w:rPr>
              <w:t>备注</w:t>
            </w:r>
          </w:p>
        </w:tc>
      </w:tr>
      <w:tr w14:paraId="226B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5EEF89B4">
            <w:pPr>
              <w:widowControl/>
              <w:ind w:right="-93"/>
              <w:jc w:val="center"/>
              <w:textAlignment w:val="bottom"/>
              <w:rPr>
                <w:color w:val="auto"/>
                <w:sz w:val="24"/>
              </w:rPr>
            </w:pPr>
            <w:r>
              <w:rPr>
                <w:color w:val="auto"/>
                <w:sz w:val="24"/>
              </w:rPr>
              <w:t>1</w:t>
            </w:r>
          </w:p>
        </w:tc>
        <w:tc>
          <w:tcPr>
            <w:tcW w:w="1475" w:type="pct"/>
            <w:vAlign w:val="center"/>
          </w:tcPr>
          <w:p w14:paraId="4C161EB6">
            <w:pPr>
              <w:autoSpaceDE w:val="0"/>
              <w:autoSpaceDN w:val="0"/>
              <w:spacing w:line="240" w:lineRule="atLeast"/>
              <w:jc w:val="center"/>
              <w:rPr>
                <w:color w:val="auto"/>
                <w:kern w:val="0"/>
                <w:sz w:val="24"/>
              </w:rPr>
            </w:pPr>
          </w:p>
        </w:tc>
        <w:tc>
          <w:tcPr>
            <w:tcW w:w="656" w:type="pct"/>
            <w:vAlign w:val="center"/>
          </w:tcPr>
          <w:p w14:paraId="4413B213">
            <w:pPr>
              <w:widowControl/>
              <w:ind w:right="893"/>
              <w:jc w:val="center"/>
              <w:textAlignment w:val="bottom"/>
              <w:rPr>
                <w:color w:val="auto"/>
                <w:sz w:val="24"/>
              </w:rPr>
            </w:pPr>
          </w:p>
        </w:tc>
        <w:tc>
          <w:tcPr>
            <w:tcW w:w="656" w:type="pct"/>
            <w:vAlign w:val="center"/>
          </w:tcPr>
          <w:p w14:paraId="42D836E7">
            <w:pPr>
              <w:widowControl/>
              <w:ind w:right="893"/>
              <w:jc w:val="center"/>
              <w:textAlignment w:val="bottom"/>
              <w:rPr>
                <w:color w:val="auto"/>
                <w:sz w:val="24"/>
              </w:rPr>
            </w:pPr>
          </w:p>
        </w:tc>
        <w:tc>
          <w:tcPr>
            <w:tcW w:w="656" w:type="pct"/>
            <w:vAlign w:val="center"/>
          </w:tcPr>
          <w:p w14:paraId="692580AD">
            <w:pPr>
              <w:widowControl/>
              <w:ind w:right="893"/>
              <w:jc w:val="center"/>
              <w:textAlignment w:val="bottom"/>
              <w:rPr>
                <w:color w:val="auto"/>
                <w:sz w:val="24"/>
              </w:rPr>
            </w:pPr>
          </w:p>
        </w:tc>
        <w:tc>
          <w:tcPr>
            <w:tcW w:w="819" w:type="pct"/>
            <w:vAlign w:val="center"/>
          </w:tcPr>
          <w:p w14:paraId="2A41E114">
            <w:pPr>
              <w:widowControl/>
              <w:ind w:right="893"/>
              <w:jc w:val="center"/>
              <w:textAlignment w:val="bottom"/>
              <w:rPr>
                <w:color w:val="auto"/>
                <w:sz w:val="24"/>
              </w:rPr>
            </w:pPr>
          </w:p>
        </w:tc>
      </w:tr>
      <w:tr w14:paraId="6B06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2A0EBC85">
            <w:pPr>
              <w:widowControl/>
              <w:ind w:right="-93"/>
              <w:jc w:val="center"/>
              <w:textAlignment w:val="bottom"/>
              <w:rPr>
                <w:color w:val="auto"/>
                <w:sz w:val="24"/>
              </w:rPr>
            </w:pPr>
            <w:r>
              <w:rPr>
                <w:color w:val="auto"/>
                <w:sz w:val="24"/>
              </w:rPr>
              <w:t>2</w:t>
            </w:r>
          </w:p>
        </w:tc>
        <w:tc>
          <w:tcPr>
            <w:tcW w:w="1475" w:type="pct"/>
            <w:vAlign w:val="center"/>
          </w:tcPr>
          <w:p w14:paraId="6501622A">
            <w:pPr>
              <w:autoSpaceDE w:val="0"/>
              <w:autoSpaceDN w:val="0"/>
              <w:spacing w:line="240" w:lineRule="atLeast"/>
              <w:jc w:val="center"/>
              <w:rPr>
                <w:color w:val="auto"/>
                <w:kern w:val="0"/>
                <w:sz w:val="24"/>
              </w:rPr>
            </w:pPr>
          </w:p>
        </w:tc>
        <w:tc>
          <w:tcPr>
            <w:tcW w:w="656" w:type="pct"/>
            <w:vAlign w:val="center"/>
          </w:tcPr>
          <w:p w14:paraId="4BFA7264">
            <w:pPr>
              <w:widowControl/>
              <w:ind w:right="893"/>
              <w:jc w:val="center"/>
              <w:textAlignment w:val="bottom"/>
              <w:rPr>
                <w:color w:val="auto"/>
                <w:sz w:val="24"/>
              </w:rPr>
            </w:pPr>
          </w:p>
        </w:tc>
        <w:tc>
          <w:tcPr>
            <w:tcW w:w="656" w:type="pct"/>
            <w:vAlign w:val="center"/>
          </w:tcPr>
          <w:p w14:paraId="49C7097C">
            <w:pPr>
              <w:widowControl/>
              <w:ind w:right="893"/>
              <w:jc w:val="center"/>
              <w:textAlignment w:val="bottom"/>
              <w:rPr>
                <w:color w:val="auto"/>
                <w:sz w:val="24"/>
              </w:rPr>
            </w:pPr>
          </w:p>
        </w:tc>
        <w:tc>
          <w:tcPr>
            <w:tcW w:w="656" w:type="pct"/>
            <w:vAlign w:val="center"/>
          </w:tcPr>
          <w:p w14:paraId="630CE903">
            <w:pPr>
              <w:widowControl/>
              <w:ind w:right="893"/>
              <w:jc w:val="center"/>
              <w:textAlignment w:val="bottom"/>
              <w:rPr>
                <w:color w:val="auto"/>
                <w:sz w:val="24"/>
              </w:rPr>
            </w:pPr>
          </w:p>
        </w:tc>
        <w:tc>
          <w:tcPr>
            <w:tcW w:w="819" w:type="pct"/>
            <w:vAlign w:val="center"/>
          </w:tcPr>
          <w:p w14:paraId="48420294">
            <w:pPr>
              <w:widowControl/>
              <w:ind w:right="893"/>
              <w:jc w:val="center"/>
              <w:textAlignment w:val="bottom"/>
              <w:rPr>
                <w:color w:val="auto"/>
                <w:sz w:val="24"/>
              </w:rPr>
            </w:pPr>
          </w:p>
        </w:tc>
      </w:tr>
      <w:tr w14:paraId="37B9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2BA88FC1">
            <w:pPr>
              <w:widowControl/>
              <w:ind w:right="-93"/>
              <w:jc w:val="center"/>
              <w:textAlignment w:val="bottom"/>
              <w:rPr>
                <w:color w:val="auto"/>
                <w:sz w:val="24"/>
              </w:rPr>
            </w:pPr>
            <w:r>
              <w:rPr>
                <w:rFonts w:hint="eastAsia"/>
                <w:color w:val="auto"/>
                <w:sz w:val="24"/>
              </w:rPr>
              <w:t>3</w:t>
            </w:r>
          </w:p>
        </w:tc>
        <w:tc>
          <w:tcPr>
            <w:tcW w:w="1475" w:type="pct"/>
            <w:vAlign w:val="center"/>
          </w:tcPr>
          <w:p w14:paraId="4B3B3CB8">
            <w:pPr>
              <w:widowControl/>
              <w:ind w:right="893"/>
              <w:jc w:val="center"/>
              <w:textAlignment w:val="bottom"/>
              <w:rPr>
                <w:color w:val="auto"/>
                <w:sz w:val="24"/>
              </w:rPr>
            </w:pPr>
          </w:p>
        </w:tc>
        <w:tc>
          <w:tcPr>
            <w:tcW w:w="656" w:type="pct"/>
            <w:vAlign w:val="center"/>
          </w:tcPr>
          <w:p w14:paraId="13E9D960">
            <w:pPr>
              <w:widowControl/>
              <w:ind w:right="893"/>
              <w:jc w:val="center"/>
              <w:textAlignment w:val="bottom"/>
              <w:rPr>
                <w:color w:val="auto"/>
                <w:sz w:val="24"/>
              </w:rPr>
            </w:pPr>
          </w:p>
        </w:tc>
        <w:tc>
          <w:tcPr>
            <w:tcW w:w="656" w:type="pct"/>
            <w:vAlign w:val="center"/>
          </w:tcPr>
          <w:p w14:paraId="13638EF9">
            <w:pPr>
              <w:widowControl/>
              <w:ind w:right="893"/>
              <w:jc w:val="center"/>
              <w:textAlignment w:val="bottom"/>
              <w:rPr>
                <w:color w:val="auto"/>
                <w:sz w:val="24"/>
              </w:rPr>
            </w:pPr>
          </w:p>
        </w:tc>
        <w:tc>
          <w:tcPr>
            <w:tcW w:w="656" w:type="pct"/>
            <w:vAlign w:val="center"/>
          </w:tcPr>
          <w:p w14:paraId="569CEEB2">
            <w:pPr>
              <w:widowControl/>
              <w:ind w:right="893"/>
              <w:jc w:val="center"/>
              <w:textAlignment w:val="bottom"/>
              <w:rPr>
                <w:color w:val="auto"/>
                <w:sz w:val="24"/>
              </w:rPr>
            </w:pPr>
          </w:p>
        </w:tc>
        <w:tc>
          <w:tcPr>
            <w:tcW w:w="819" w:type="pct"/>
            <w:vAlign w:val="center"/>
          </w:tcPr>
          <w:p w14:paraId="6BDAC45B">
            <w:pPr>
              <w:widowControl/>
              <w:ind w:right="893"/>
              <w:jc w:val="center"/>
              <w:textAlignment w:val="bottom"/>
              <w:rPr>
                <w:color w:val="auto"/>
                <w:sz w:val="24"/>
              </w:rPr>
            </w:pPr>
          </w:p>
        </w:tc>
      </w:tr>
      <w:tr w14:paraId="7004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112B444E">
            <w:pPr>
              <w:widowControl/>
              <w:ind w:right="-93"/>
              <w:jc w:val="center"/>
              <w:textAlignment w:val="bottom"/>
              <w:rPr>
                <w:color w:val="auto"/>
                <w:sz w:val="24"/>
              </w:rPr>
            </w:pPr>
            <w:r>
              <w:rPr>
                <w:color w:val="auto"/>
                <w:sz w:val="24"/>
              </w:rPr>
              <w:t>……</w:t>
            </w:r>
          </w:p>
        </w:tc>
        <w:tc>
          <w:tcPr>
            <w:tcW w:w="1475" w:type="pct"/>
            <w:vAlign w:val="center"/>
          </w:tcPr>
          <w:p w14:paraId="3C4CE160">
            <w:pPr>
              <w:widowControl/>
              <w:ind w:right="893"/>
              <w:jc w:val="center"/>
              <w:textAlignment w:val="bottom"/>
              <w:rPr>
                <w:color w:val="auto"/>
                <w:sz w:val="24"/>
              </w:rPr>
            </w:pPr>
          </w:p>
        </w:tc>
        <w:tc>
          <w:tcPr>
            <w:tcW w:w="656" w:type="pct"/>
            <w:vAlign w:val="center"/>
          </w:tcPr>
          <w:p w14:paraId="33F362C5">
            <w:pPr>
              <w:widowControl/>
              <w:ind w:right="893"/>
              <w:jc w:val="center"/>
              <w:textAlignment w:val="bottom"/>
              <w:rPr>
                <w:color w:val="auto"/>
                <w:sz w:val="24"/>
              </w:rPr>
            </w:pPr>
          </w:p>
        </w:tc>
        <w:tc>
          <w:tcPr>
            <w:tcW w:w="656" w:type="pct"/>
            <w:vAlign w:val="center"/>
          </w:tcPr>
          <w:p w14:paraId="00A658DF">
            <w:pPr>
              <w:widowControl/>
              <w:ind w:right="893"/>
              <w:jc w:val="center"/>
              <w:textAlignment w:val="bottom"/>
              <w:rPr>
                <w:color w:val="auto"/>
                <w:sz w:val="24"/>
              </w:rPr>
            </w:pPr>
          </w:p>
        </w:tc>
        <w:tc>
          <w:tcPr>
            <w:tcW w:w="656" w:type="pct"/>
            <w:vAlign w:val="center"/>
          </w:tcPr>
          <w:p w14:paraId="6B521EDF">
            <w:pPr>
              <w:widowControl/>
              <w:ind w:right="893"/>
              <w:jc w:val="center"/>
              <w:textAlignment w:val="bottom"/>
              <w:rPr>
                <w:color w:val="auto"/>
                <w:sz w:val="24"/>
              </w:rPr>
            </w:pPr>
          </w:p>
        </w:tc>
        <w:tc>
          <w:tcPr>
            <w:tcW w:w="819" w:type="pct"/>
            <w:vAlign w:val="center"/>
          </w:tcPr>
          <w:p w14:paraId="7D49450F">
            <w:pPr>
              <w:widowControl/>
              <w:ind w:right="893"/>
              <w:jc w:val="center"/>
              <w:textAlignment w:val="bottom"/>
              <w:rPr>
                <w:color w:val="auto"/>
                <w:sz w:val="24"/>
              </w:rPr>
            </w:pPr>
          </w:p>
        </w:tc>
      </w:tr>
      <w:tr w14:paraId="6449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3" w:type="pct"/>
            <w:gridSpan w:val="2"/>
            <w:vAlign w:val="center"/>
          </w:tcPr>
          <w:p w14:paraId="0C0A95AB">
            <w:pPr>
              <w:widowControl/>
              <w:ind w:right="893"/>
              <w:jc w:val="center"/>
              <w:textAlignment w:val="bottom"/>
              <w:rPr>
                <w:color w:val="auto"/>
                <w:sz w:val="24"/>
              </w:rPr>
            </w:pPr>
            <w:r>
              <w:rPr>
                <w:color w:val="auto"/>
                <w:sz w:val="24"/>
              </w:rPr>
              <w:t>总计</w:t>
            </w:r>
          </w:p>
        </w:tc>
        <w:tc>
          <w:tcPr>
            <w:tcW w:w="656" w:type="pct"/>
            <w:vAlign w:val="center"/>
          </w:tcPr>
          <w:p w14:paraId="6CFE1D7C">
            <w:pPr>
              <w:widowControl/>
              <w:ind w:right="893"/>
              <w:jc w:val="center"/>
              <w:textAlignment w:val="bottom"/>
              <w:rPr>
                <w:color w:val="auto"/>
                <w:sz w:val="24"/>
              </w:rPr>
            </w:pPr>
          </w:p>
        </w:tc>
        <w:tc>
          <w:tcPr>
            <w:tcW w:w="656" w:type="pct"/>
            <w:vAlign w:val="center"/>
          </w:tcPr>
          <w:p w14:paraId="38AEDE37">
            <w:pPr>
              <w:widowControl/>
              <w:ind w:right="893"/>
              <w:jc w:val="center"/>
              <w:textAlignment w:val="bottom"/>
              <w:rPr>
                <w:color w:val="auto"/>
                <w:sz w:val="24"/>
              </w:rPr>
            </w:pPr>
          </w:p>
        </w:tc>
        <w:tc>
          <w:tcPr>
            <w:tcW w:w="656" w:type="pct"/>
            <w:vAlign w:val="center"/>
          </w:tcPr>
          <w:p w14:paraId="0DF99B9E">
            <w:pPr>
              <w:widowControl/>
              <w:ind w:right="893"/>
              <w:jc w:val="center"/>
              <w:textAlignment w:val="bottom"/>
              <w:rPr>
                <w:color w:val="auto"/>
                <w:sz w:val="24"/>
              </w:rPr>
            </w:pPr>
          </w:p>
        </w:tc>
        <w:tc>
          <w:tcPr>
            <w:tcW w:w="819" w:type="pct"/>
            <w:vAlign w:val="center"/>
          </w:tcPr>
          <w:p w14:paraId="22998707">
            <w:pPr>
              <w:widowControl/>
              <w:ind w:right="893"/>
              <w:jc w:val="center"/>
              <w:textAlignment w:val="bottom"/>
              <w:rPr>
                <w:color w:val="auto"/>
                <w:sz w:val="24"/>
              </w:rPr>
            </w:pPr>
          </w:p>
        </w:tc>
      </w:tr>
    </w:tbl>
    <w:p w14:paraId="3DCE268E">
      <w:pPr>
        <w:autoSpaceDE w:val="0"/>
        <w:autoSpaceDN w:val="0"/>
        <w:spacing w:line="360" w:lineRule="auto"/>
        <w:ind w:firstLine="960" w:firstLineChars="400"/>
        <w:rPr>
          <w:rFonts w:ascii="仿宋_GB2312" w:hAnsi="宋体" w:eastAsia="仿宋_GB2312"/>
          <w:color w:val="auto"/>
          <w:sz w:val="24"/>
        </w:rPr>
      </w:pPr>
    </w:p>
    <w:p w14:paraId="63A4E315">
      <w:pPr>
        <w:autoSpaceDE w:val="0"/>
        <w:autoSpaceDN w:val="0"/>
        <w:spacing w:line="360" w:lineRule="auto"/>
        <w:rPr>
          <w:rFonts w:ascii="仿宋_GB2312" w:hAnsi="宋体" w:eastAsia="仿宋_GB2312"/>
          <w:color w:val="auto"/>
          <w:sz w:val="24"/>
        </w:rPr>
      </w:pPr>
      <w:r>
        <w:rPr>
          <w:rFonts w:hint="eastAsia" w:ascii="仿宋_GB2312" w:hAnsi="宋体" w:eastAsia="仿宋_GB2312"/>
          <w:color w:val="auto"/>
          <w:sz w:val="24"/>
        </w:rPr>
        <w:t>报价方法定代表人（或委托代理人）签字：         日期：</w:t>
      </w:r>
    </w:p>
    <w:p w14:paraId="1260FE33">
      <w:pPr>
        <w:widowControl/>
        <w:autoSpaceDE w:val="0"/>
        <w:autoSpaceDN w:val="0"/>
        <w:spacing w:line="360" w:lineRule="auto"/>
        <w:ind w:right="17"/>
        <w:textAlignment w:val="bottom"/>
        <w:rPr>
          <w:rFonts w:ascii="仿宋_GB2312" w:hAnsi="宋体" w:eastAsia="仿宋_GB2312"/>
          <w:color w:val="auto"/>
          <w:sz w:val="24"/>
        </w:rPr>
      </w:pPr>
    </w:p>
    <w:p w14:paraId="556F0758">
      <w:pPr>
        <w:widowControl/>
        <w:autoSpaceDE w:val="0"/>
        <w:autoSpaceDN w:val="0"/>
        <w:spacing w:line="360" w:lineRule="auto"/>
        <w:ind w:right="17"/>
        <w:textAlignment w:val="bottom"/>
        <w:rPr>
          <w:rFonts w:ascii="仿宋_GB2312" w:hAnsi="宋体" w:eastAsia="仿宋_GB2312"/>
          <w:color w:val="auto"/>
          <w:sz w:val="24"/>
        </w:rPr>
      </w:pPr>
      <w:r>
        <w:rPr>
          <w:rFonts w:ascii="仿宋_GB2312" w:hAnsi="宋体" w:eastAsia="仿宋_GB2312"/>
          <w:color w:val="auto"/>
          <w:sz w:val="24"/>
        </w:rPr>
        <w:t>注:1.此表乃投标总报价表的明细表。</w:t>
      </w:r>
    </w:p>
    <w:p w14:paraId="2FAB56BE">
      <w:pPr>
        <w:pStyle w:val="9"/>
        <w:spacing w:line="360" w:lineRule="auto"/>
        <w:ind w:firstLine="360" w:firstLineChars="150"/>
        <w:jc w:val="both"/>
        <w:rPr>
          <w:rFonts w:ascii="仿宋_GB2312" w:hAnsi="宋体" w:eastAsia="仿宋_GB2312"/>
          <w:b w:val="0"/>
          <w:color w:val="auto"/>
          <w:sz w:val="24"/>
          <w:szCs w:val="24"/>
        </w:rPr>
      </w:pPr>
      <w:r>
        <w:rPr>
          <w:rFonts w:ascii="仿宋_GB2312" w:hAnsi="宋体" w:eastAsia="仿宋_GB2312"/>
          <w:b w:val="0"/>
          <w:color w:val="auto"/>
          <w:sz w:val="24"/>
          <w:szCs w:val="24"/>
        </w:rPr>
        <w:t>2.如果单价和总价不符时，以单价为准，修正总价。</w:t>
      </w:r>
    </w:p>
    <w:p w14:paraId="2BE67CFA">
      <w:pPr>
        <w:rPr>
          <w:rFonts w:ascii="仿宋_GB2312" w:hAnsi="宋体" w:eastAsia="仿宋_GB2312"/>
          <w:color w:val="auto"/>
          <w:sz w:val="24"/>
        </w:rPr>
      </w:pPr>
      <w:r>
        <w:rPr>
          <w:rFonts w:ascii="仿宋_GB2312" w:hAnsi="宋体" w:eastAsia="仿宋_GB2312"/>
          <w:color w:val="auto"/>
          <w:sz w:val="24"/>
        </w:rPr>
        <w:br w:type="page"/>
      </w:r>
    </w:p>
    <w:p w14:paraId="322CE5C8">
      <w:pPr>
        <w:spacing w:line="360" w:lineRule="auto"/>
        <w:jc w:val="center"/>
        <w:rPr>
          <w:rFonts w:ascii="仿宋_GB2312" w:hAnsi="宋体" w:eastAsia="仿宋_GB2312"/>
          <w:b/>
          <w:bCs/>
          <w:color w:val="auto"/>
          <w:kern w:val="32"/>
          <w:sz w:val="32"/>
          <w:szCs w:val="32"/>
        </w:rPr>
      </w:pPr>
      <w:r>
        <w:rPr>
          <w:rFonts w:hint="eastAsia" w:ascii="仿宋_GB2312" w:hAnsi="宋体" w:eastAsia="仿宋_GB2312"/>
          <w:b/>
          <w:bCs/>
          <w:color w:val="auto"/>
          <w:kern w:val="32"/>
          <w:sz w:val="32"/>
          <w:szCs w:val="32"/>
        </w:rPr>
        <w:t>（四）服务承诺</w:t>
      </w:r>
    </w:p>
    <w:p w14:paraId="0F575BFF">
      <w:pPr>
        <w:jc w:val="center"/>
        <w:rPr>
          <w:rFonts w:ascii="仿宋_GB2312" w:hAnsi="宋体" w:eastAsia="仿宋_GB2312"/>
          <w:bCs/>
          <w:color w:val="auto"/>
          <w:kern w:val="32"/>
          <w:sz w:val="24"/>
        </w:rPr>
      </w:pPr>
      <w:r>
        <w:rPr>
          <w:rFonts w:hint="eastAsia" w:ascii="仿宋_GB2312" w:hAnsi="宋体" w:eastAsia="仿宋_GB2312"/>
          <w:bCs/>
          <w:color w:val="auto"/>
          <w:kern w:val="32"/>
          <w:sz w:val="24"/>
        </w:rPr>
        <w:t>注：投标人根据用户需求书自行填写。</w:t>
      </w:r>
    </w:p>
    <w:p w14:paraId="2AC82AE1">
      <w:pPr>
        <w:autoSpaceDE w:val="0"/>
        <w:autoSpaceDN w:val="0"/>
        <w:spacing w:line="360" w:lineRule="auto"/>
        <w:rPr>
          <w:rFonts w:ascii="仿宋_GB2312" w:hAnsi="宋体" w:eastAsia="仿宋_GB2312"/>
          <w:color w:val="auto"/>
          <w:sz w:val="24"/>
        </w:rPr>
      </w:pPr>
    </w:p>
    <w:p w14:paraId="75AFF5D5">
      <w:pPr>
        <w:rPr>
          <w:rFonts w:ascii="仿宋_GB2312" w:hAnsi="宋体" w:eastAsia="仿宋_GB2312"/>
          <w:color w:val="auto"/>
          <w:sz w:val="24"/>
        </w:rPr>
      </w:pPr>
      <w:r>
        <w:rPr>
          <w:rFonts w:ascii="仿宋_GB2312" w:hAnsi="宋体" w:eastAsia="仿宋_GB2312"/>
          <w:color w:val="auto"/>
          <w:sz w:val="24"/>
        </w:rPr>
        <w:br w:type="page"/>
      </w:r>
    </w:p>
    <w:p w14:paraId="2A0DE846">
      <w:pPr>
        <w:jc w:val="center"/>
        <w:rPr>
          <w:rFonts w:ascii="仿宋_GB2312" w:hAnsi="宋体" w:eastAsia="仿宋_GB2312"/>
          <w:b/>
          <w:bCs/>
          <w:color w:val="auto"/>
          <w:kern w:val="32"/>
          <w:sz w:val="32"/>
          <w:szCs w:val="32"/>
          <w:highlight w:val="none"/>
        </w:rPr>
      </w:pPr>
      <w:r>
        <w:rPr>
          <w:rFonts w:hint="eastAsia" w:ascii="仿宋_GB2312" w:hAnsi="宋体" w:eastAsia="仿宋_GB2312"/>
          <w:b/>
          <w:bCs/>
          <w:color w:val="auto"/>
          <w:kern w:val="32"/>
          <w:sz w:val="32"/>
          <w:szCs w:val="32"/>
          <w:highlight w:val="none"/>
        </w:rPr>
        <w:t>（五）中小企业声明函</w:t>
      </w:r>
    </w:p>
    <w:p w14:paraId="25886CD4">
      <w:pPr>
        <w:spacing w:before="129"/>
        <w:ind w:firstLine="395"/>
        <w:jc w:val="center"/>
        <w:rPr>
          <w:rFonts w:ascii="仿宋_GB2312" w:hAnsi="仿宋_GB2312" w:eastAsia="仿宋_GB2312" w:cs="仿宋_GB2312"/>
          <w:color w:val="auto"/>
          <w:spacing w:val="1"/>
          <w:sz w:val="24"/>
          <w:highlight w:val="none"/>
        </w:rPr>
      </w:pPr>
      <w:r>
        <w:rPr>
          <w:rFonts w:hint="eastAsia" w:ascii="仿宋_GB2312" w:hAnsi="仿宋_GB2312" w:eastAsia="仿宋_GB2312" w:cs="仿宋_GB2312"/>
          <w:color w:val="auto"/>
          <w:spacing w:val="1"/>
          <w:sz w:val="24"/>
          <w:highlight w:val="none"/>
        </w:rPr>
        <w:t>（所投产品制造商为中小企业时提交本函，所属行业应符合采购文件中明确的本项目所属行业，以下格式文件由供应商根据需要选用）</w:t>
      </w:r>
    </w:p>
    <w:p w14:paraId="2A06E135">
      <w:pPr>
        <w:spacing w:before="129"/>
        <w:ind w:firstLine="395"/>
        <w:jc w:val="center"/>
        <w:rPr>
          <w:rFonts w:ascii="仿宋_GB2312" w:hAnsi="仿宋_GB2312" w:eastAsia="仿宋_GB2312" w:cs="仿宋_GB2312"/>
          <w:color w:val="auto"/>
          <w:spacing w:val="1"/>
          <w:sz w:val="24"/>
          <w:highlight w:val="none"/>
        </w:rPr>
      </w:pPr>
    </w:p>
    <w:p w14:paraId="7EF84C83">
      <w:pPr>
        <w:spacing w:before="200"/>
        <w:ind w:firstLine="391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6"/>
          <w:sz w:val="24"/>
          <w:highlight w:val="none"/>
        </w:rPr>
        <w:t>中小企业声明函（货物）</w:t>
      </w:r>
    </w:p>
    <w:p w14:paraId="6A851932">
      <w:pPr>
        <w:spacing w:before="178"/>
        <w:ind w:firstLine="384"/>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1"/>
          <w:sz w:val="24"/>
          <w:highlight w:val="none"/>
        </w:rPr>
        <w:t>本公司（联合体）郑重声明，根据《政府采购促进中小企业发展管理办法》（财库﹝2020﹞46号）的规定，本公司</w:t>
      </w:r>
      <w:r>
        <w:rPr>
          <w:rFonts w:hint="eastAsia" w:ascii="仿宋_GB2312" w:hAnsi="仿宋_GB2312" w:eastAsia="仿宋_GB2312" w:cs="仿宋_GB2312"/>
          <w:color w:val="auto"/>
          <w:spacing w:val="-4"/>
          <w:sz w:val="24"/>
          <w:highlight w:val="none"/>
        </w:rPr>
        <w:t>（联合体）参加</w:t>
      </w:r>
      <w:r>
        <w:rPr>
          <w:rFonts w:hint="eastAsia" w:ascii="仿宋_GB2312" w:hAnsi="仿宋_GB2312" w:eastAsia="仿宋_GB2312" w:cs="仿宋_GB2312"/>
          <w:color w:val="auto"/>
          <w:spacing w:val="-4"/>
          <w:sz w:val="24"/>
          <w:highlight w:val="none"/>
          <w:u w:val="single"/>
        </w:rPr>
        <w:t>（单位名称）</w:t>
      </w:r>
      <w:r>
        <w:rPr>
          <w:rFonts w:hint="eastAsia" w:ascii="仿宋_GB2312" w:hAnsi="仿宋_GB2312" w:eastAsia="仿宋_GB2312" w:cs="仿宋_GB2312"/>
          <w:color w:val="auto"/>
          <w:spacing w:val="9"/>
          <w:w w:val="101"/>
          <w:sz w:val="24"/>
          <w:highlight w:val="none"/>
          <w:u w:val="single"/>
        </w:rPr>
        <w:t xml:space="preserve"> </w:t>
      </w:r>
      <w:r>
        <w:rPr>
          <w:rFonts w:hint="eastAsia" w:ascii="仿宋_GB2312" w:hAnsi="仿宋_GB2312" w:eastAsia="仿宋_GB2312" w:cs="仿宋_GB2312"/>
          <w:color w:val="auto"/>
          <w:spacing w:val="-4"/>
          <w:sz w:val="24"/>
          <w:highlight w:val="none"/>
        </w:rPr>
        <w:t>的</w:t>
      </w:r>
      <w:r>
        <w:rPr>
          <w:rFonts w:hint="eastAsia" w:ascii="仿宋_GB2312" w:hAnsi="仿宋_GB2312" w:eastAsia="仿宋_GB2312" w:cs="仿宋_GB2312"/>
          <w:color w:val="auto"/>
          <w:spacing w:val="-4"/>
          <w:sz w:val="24"/>
          <w:highlight w:val="none"/>
          <w:u w:val="single"/>
        </w:rPr>
        <w:t>东莞市社会保险基金管理中心</w:t>
      </w:r>
      <w:r>
        <w:rPr>
          <w:rFonts w:hint="eastAsia" w:ascii="仿宋_GB2312" w:hAnsi="仿宋_GB2312" w:eastAsia="仿宋_GB2312" w:cs="仿宋_GB2312"/>
          <w:color w:val="auto"/>
          <w:spacing w:val="-4"/>
          <w:sz w:val="24"/>
          <w:highlight w:val="none"/>
          <w:u w:val="single"/>
          <w:lang w:val="en-US" w:eastAsia="zh-CN"/>
        </w:rPr>
        <w:t>XX</w:t>
      </w:r>
      <w:r>
        <w:rPr>
          <w:rFonts w:hint="eastAsia" w:ascii="仿宋_GB2312" w:hAnsi="仿宋_GB2312" w:eastAsia="仿宋_GB2312" w:cs="仿宋_GB2312"/>
          <w:color w:val="auto"/>
          <w:spacing w:val="-4"/>
          <w:sz w:val="24"/>
          <w:highlight w:val="none"/>
          <w:u w:val="single"/>
        </w:rPr>
        <w:t>项目</w:t>
      </w:r>
      <w:r>
        <w:rPr>
          <w:rFonts w:hint="eastAsia" w:ascii="仿宋_GB2312" w:hAnsi="仿宋_GB2312" w:eastAsia="仿宋_GB2312" w:cs="仿宋_GB2312"/>
          <w:color w:val="auto"/>
          <w:spacing w:val="-4"/>
          <w:sz w:val="24"/>
          <w:highlight w:val="none"/>
          <w:u w:val="single"/>
          <w:lang w:eastAsia="zh-CN"/>
        </w:rPr>
        <w:t>（</w:t>
      </w:r>
      <w:r>
        <w:rPr>
          <w:rFonts w:hint="eastAsia" w:ascii="仿宋_GB2312" w:hAnsi="仿宋_GB2312" w:eastAsia="仿宋_GB2312" w:cs="仿宋_GB2312"/>
          <w:color w:val="auto"/>
          <w:spacing w:val="-4"/>
          <w:sz w:val="24"/>
          <w:highlight w:val="none"/>
          <w:u w:val="single"/>
          <w:lang w:val="en-US" w:eastAsia="zh-CN"/>
        </w:rPr>
        <w:t>二次</w:t>
      </w:r>
      <w:r>
        <w:rPr>
          <w:rFonts w:hint="eastAsia" w:ascii="仿宋_GB2312" w:hAnsi="仿宋_GB2312" w:eastAsia="仿宋_GB2312" w:cs="仿宋_GB2312"/>
          <w:color w:val="auto"/>
          <w:spacing w:val="-4"/>
          <w:sz w:val="24"/>
          <w:highlight w:val="none"/>
          <w:u w:val="single"/>
          <w:lang w:eastAsia="zh-CN"/>
        </w:rPr>
        <w:t>）</w:t>
      </w:r>
      <w:r>
        <w:rPr>
          <w:rFonts w:hint="eastAsia" w:ascii="仿宋_GB2312" w:hAnsi="仿宋_GB2312" w:eastAsia="仿宋_GB2312" w:cs="仿宋_GB2312"/>
          <w:color w:val="auto"/>
          <w:spacing w:val="-8"/>
          <w:sz w:val="24"/>
          <w:highlight w:val="none"/>
          <w:u w:val="single"/>
        </w:rPr>
        <w:t xml:space="preserve"> </w:t>
      </w:r>
      <w:r>
        <w:rPr>
          <w:rFonts w:hint="eastAsia" w:ascii="仿宋_GB2312" w:hAnsi="仿宋_GB2312" w:eastAsia="仿宋_GB2312" w:cs="仿宋_GB2312"/>
          <w:color w:val="auto"/>
          <w:spacing w:val="-4"/>
          <w:sz w:val="24"/>
          <w:highlight w:val="none"/>
        </w:rPr>
        <w:t>采购活动，提供的货物全部由符合政策要求的中小企业制造。相关企业（含联合</w:t>
      </w:r>
      <w:r>
        <w:rPr>
          <w:rFonts w:hint="eastAsia" w:ascii="仿宋_GB2312" w:hAnsi="仿宋_GB2312" w:eastAsia="仿宋_GB2312" w:cs="仿宋_GB2312"/>
          <w:color w:val="auto"/>
          <w:w w:val="101"/>
          <w:sz w:val="24"/>
          <w:highlight w:val="none"/>
        </w:rPr>
        <w:t xml:space="preserve"> </w:t>
      </w:r>
      <w:r>
        <w:rPr>
          <w:rFonts w:hint="eastAsia" w:ascii="仿宋_GB2312" w:hAnsi="仿宋_GB2312" w:eastAsia="仿宋_GB2312" w:cs="仿宋_GB2312"/>
          <w:color w:val="auto"/>
          <w:spacing w:val="-3"/>
          <w:sz w:val="24"/>
          <w:highlight w:val="none"/>
        </w:rPr>
        <w:t>体中的中小企业、签订分包意向协议的中小企业）的具体情况如下：</w:t>
      </w:r>
    </w:p>
    <w:p w14:paraId="5D796898">
      <w:pPr>
        <w:spacing w:before="1"/>
        <w:ind w:firstLine="39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1.</w:t>
      </w:r>
      <w:r>
        <w:rPr>
          <w:rFonts w:hint="eastAsia" w:ascii="仿宋_GB2312" w:hAnsi="仿宋_GB2312" w:eastAsia="仿宋_GB2312" w:cs="仿宋_GB2312"/>
          <w:color w:val="auto"/>
          <w:spacing w:val="-3"/>
          <w:sz w:val="24"/>
          <w:highlight w:val="none"/>
          <w:u w:val="single"/>
        </w:rPr>
        <w:t>（标的名称</w:t>
      </w:r>
      <w:r>
        <w:rPr>
          <w:rFonts w:hint="eastAsia" w:ascii="仿宋_GB2312" w:hAnsi="仿宋_GB2312" w:eastAsia="仿宋_GB2312" w:cs="仿宋_GB2312"/>
          <w:color w:val="auto"/>
          <w:spacing w:val="-56"/>
          <w:sz w:val="24"/>
          <w:highlight w:val="none"/>
          <w:u w:val="single"/>
        </w:rPr>
        <w:t>）</w:t>
      </w:r>
      <w:r>
        <w:rPr>
          <w:rFonts w:hint="eastAsia" w:ascii="仿宋_GB2312" w:hAnsi="仿宋_GB2312" w:eastAsia="仿宋_GB2312" w:cs="仿宋_GB2312"/>
          <w:color w:val="auto"/>
          <w:spacing w:val="11"/>
          <w:sz w:val="24"/>
          <w:highlight w:val="none"/>
          <w:u w:val="single"/>
        </w:rPr>
        <w:t xml:space="preserve"> </w:t>
      </w:r>
      <w:r>
        <w:rPr>
          <w:rFonts w:hint="eastAsia" w:ascii="仿宋_GB2312" w:hAnsi="仿宋_GB2312" w:eastAsia="仿宋_GB2312" w:cs="仿宋_GB2312"/>
          <w:color w:val="auto"/>
          <w:spacing w:val="-56"/>
          <w:sz w:val="24"/>
          <w:highlight w:val="none"/>
        </w:rPr>
        <w:t>，</w:t>
      </w:r>
      <w:r>
        <w:rPr>
          <w:rFonts w:hint="eastAsia" w:ascii="仿宋_GB2312" w:hAnsi="仿宋_GB2312" w:eastAsia="仿宋_GB2312" w:cs="仿宋_GB2312"/>
          <w:color w:val="auto"/>
          <w:spacing w:val="-3"/>
          <w:sz w:val="24"/>
          <w:highlight w:val="none"/>
        </w:rPr>
        <w:t>属于</w:t>
      </w:r>
      <w:r>
        <w:rPr>
          <w:rFonts w:hint="eastAsia" w:ascii="仿宋_GB2312" w:hAnsi="仿宋_GB2312" w:eastAsia="仿宋_GB2312" w:cs="仿宋_GB2312"/>
          <w:color w:val="auto"/>
          <w:spacing w:val="-3"/>
          <w:sz w:val="24"/>
          <w:highlight w:val="none"/>
          <w:u w:val="single"/>
        </w:rPr>
        <w:t xml:space="preserve">（采购文件中明确的所属行业） </w:t>
      </w:r>
      <w:r>
        <w:rPr>
          <w:rFonts w:hint="eastAsia" w:ascii="仿宋_GB2312" w:hAnsi="仿宋_GB2312" w:eastAsia="仿宋_GB2312" w:cs="仿宋_GB2312"/>
          <w:color w:val="auto"/>
          <w:spacing w:val="-3"/>
          <w:sz w:val="24"/>
          <w:highlight w:val="none"/>
        </w:rPr>
        <w:t>行业；</w:t>
      </w:r>
      <w:r>
        <w:rPr>
          <w:rFonts w:hint="eastAsia" w:ascii="仿宋_GB2312" w:hAnsi="仿宋_GB2312" w:eastAsia="仿宋_GB2312" w:cs="仿宋_GB2312"/>
          <w:color w:val="auto"/>
          <w:spacing w:val="45"/>
          <w:sz w:val="24"/>
          <w:highlight w:val="none"/>
        </w:rPr>
        <w:t xml:space="preserve"> </w:t>
      </w:r>
      <w:r>
        <w:rPr>
          <w:rFonts w:hint="eastAsia" w:ascii="仿宋_GB2312" w:hAnsi="仿宋_GB2312" w:eastAsia="仿宋_GB2312" w:cs="仿宋_GB2312"/>
          <w:color w:val="auto"/>
          <w:spacing w:val="-3"/>
          <w:sz w:val="24"/>
          <w:highlight w:val="none"/>
        </w:rPr>
        <w:t>制造商为</w:t>
      </w:r>
      <w:r>
        <w:rPr>
          <w:rFonts w:hint="eastAsia" w:ascii="仿宋_GB2312" w:hAnsi="仿宋_GB2312" w:eastAsia="仿宋_GB2312" w:cs="仿宋_GB2312"/>
          <w:color w:val="auto"/>
          <w:spacing w:val="-3"/>
          <w:sz w:val="24"/>
          <w:highlight w:val="none"/>
          <w:u w:val="single"/>
        </w:rPr>
        <w:t>（企业名称</w:t>
      </w:r>
      <w:r>
        <w:rPr>
          <w:rFonts w:hint="eastAsia" w:ascii="仿宋_GB2312" w:hAnsi="仿宋_GB2312" w:eastAsia="仿宋_GB2312" w:cs="仿宋_GB2312"/>
          <w:color w:val="auto"/>
          <w:spacing w:val="-56"/>
          <w:sz w:val="24"/>
          <w:highlight w:val="none"/>
          <w:u w:val="single"/>
        </w:rPr>
        <w:t>）</w:t>
      </w:r>
      <w:r>
        <w:rPr>
          <w:rFonts w:hint="eastAsia" w:ascii="仿宋_GB2312" w:hAnsi="仿宋_GB2312" w:eastAsia="仿宋_GB2312" w:cs="仿宋_GB2312"/>
          <w:color w:val="auto"/>
          <w:spacing w:val="9"/>
          <w:sz w:val="24"/>
          <w:highlight w:val="none"/>
          <w:u w:val="single"/>
        </w:rPr>
        <w:t xml:space="preserve"> </w:t>
      </w:r>
      <w:r>
        <w:rPr>
          <w:rFonts w:hint="eastAsia" w:ascii="仿宋_GB2312" w:hAnsi="仿宋_GB2312" w:eastAsia="仿宋_GB2312" w:cs="仿宋_GB2312"/>
          <w:color w:val="auto"/>
          <w:spacing w:val="-56"/>
          <w:sz w:val="24"/>
          <w:highlight w:val="none"/>
        </w:rPr>
        <w:t>，</w:t>
      </w:r>
      <w:r>
        <w:rPr>
          <w:rFonts w:hint="eastAsia" w:ascii="仿宋_GB2312" w:hAnsi="仿宋_GB2312" w:eastAsia="仿宋_GB2312" w:cs="仿宋_GB2312"/>
          <w:color w:val="auto"/>
          <w:spacing w:val="-3"/>
          <w:sz w:val="24"/>
          <w:highlight w:val="none"/>
        </w:rPr>
        <w:t>从业人员__________________人，</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pacing w:val="1"/>
          <w:sz w:val="24"/>
          <w:highlight w:val="none"/>
        </w:rPr>
        <w:t>营业收入为__________________万元，资产总额为__________________万元</w:t>
      </w:r>
      <w:r>
        <w:rPr>
          <w:rFonts w:hint="eastAsia" w:ascii="仿宋_GB2312" w:hAnsi="仿宋_GB2312" w:eastAsia="仿宋_GB2312" w:cs="仿宋_GB2312"/>
          <w:color w:val="auto"/>
          <w:spacing w:val="1"/>
          <w:position w:val="3"/>
          <w:sz w:val="24"/>
          <w:highlight w:val="none"/>
        </w:rPr>
        <w:t>1</w:t>
      </w:r>
      <w:r>
        <w:rPr>
          <w:rFonts w:hint="eastAsia" w:ascii="仿宋_GB2312" w:hAnsi="仿宋_GB2312" w:eastAsia="仿宋_GB2312" w:cs="仿宋_GB2312"/>
          <w:color w:val="auto"/>
          <w:spacing w:val="2"/>
          <w:w w:val="103"/>
          <w:position w:val="3"/>
          <w:sz w:val="24"/>
          <w:highlight w:val="none"/>
        </w:rPr>
        <w:t xml:space="preserve"> </w:t>
      </w:r>
      <w:r>
        <w:rPr>
          <w:rFonts w:hint="eastAsia" w:ascii="仿宋_GB2312" w:hAnsi="仿宋_GB2312" w:eastAsia="仿宋_GB2312" w:cs="仿宋_GB2312"/>
          <w:color w:val="auto"/>
          <w:spacing w:val="1"/>
          <w:sz w:val="24"/>
          <w:highlight w:val="none"/>
        </w:rPr>
        <w:t>，属于</w:t>
      </w:r>
      <w:r>
        <w:rPr>
          <w:rFonts w:hint="eastAsia" w:ascii="仿宋_GB2312" w:hAnsi="仿宋_GB2312" w:eastAsia="仿宋_GB2312" w:cs="仿宋_GB2312"/>
          <w:color w:val="auto"/>
          <w:spacing w:val="1"/>
          <w:sz w:val="24"/>
          <w:highlight w:val="none"/>
          <w:u w:val="single"/>
        </w:rPr>
        <w:t>（中型企业、小型企业、微型企业</w:t>
      </w:r>
      <w:r>
        <w:rPr>
          <w:rFonts w:hint="eastAsia" w:ascii="仿宋_GB2312" w:hAnsi="仿宋_GB2312" w:eastAsia="仿宋_GB2312" w:cs="仿宋_GB2312"/>
          <w:color w:val="auto"/>
          <w:spacing w:val="-51"/>
          <w:sz w:val="24"/>
          <w:highlight w:val="none"/>
          <w:u w:val="single"/>
        </w:rPr>
        <w:t>）</w:t>
      </w:r>
      <w:r>
        <w:rPr>
          <w:rFonts w:hint="eastAsia" w:ascii="仿宋_GB2312" w:hAnsi="仿宋_GB2312" w:eastAsia="仿宋_GB2312" w:cs="仿宋_GB2312"/>
          <w:color w:val="auto"/>
          <w:spacing w:val="7"/>
          <w:sz w:val="24"/>
          <w:highlight w:val="none"/>
          <w:u w:val="single"/>
        </w:rPr>
        <w:t xml:space="preserve"> </w:t>
      </w:r>
      <w:r>
        <w:rPr>
          <w:rFonts w:hint="eastAsia" w:ascii="仿宋_GB2312" w:hAnsi="仿宋_GB2312" w:eastAsia="仿宋_GB2312" w:cs="仿宋_GB2312"/>
          <w:color w:val="auto"/>
          <w:spacing w:val="-51"/>
          <w:sz w:val="24"/>
          <w:highlight w:val="none"/>
        </w:rPr>
        <w:t>；</w:t>
      </w:r>
    </w:p>
    <w:p w14:paraId="2BA7BC7E">
      <w:pPr>
        <w:spacing w:before="1"/>
        <w:ind w:firstLine="384"/>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2.</w:t>
      </w:r>
      <w:r>
        <w:rPr>
          <w:rFonts w:hint="eastAsia" w:ascii="仿宋_GB2312" w:hAnsi="仿宋_GB2312" w:eastAsia="仿宋_GB2312" w:cs="仿宋_GB2312"/>
          <w:color w:val="auto"/>
          <w:spacing w:val="-3"/>
          <w:sz w:val="24"/>
          <w:highlight w:val="none"/>
          <w:u w:val="single"/>
        </w:rPr>
        <w:t>（标的名称</w:t>
      </w:r>
      <w:r>
        <w:rPr>
          <w:rFonts w:hint="eastAsia" w:ascii="仿宋_GB2312" w:hAnsi="仿宋_GB2312" w:eastAsia="仿宋_GB2312" w:cs="仿宋_GB2312"/>
          <w:color w:val="auto"/>
          <w:spacing w:val="-54"/>
          <w:sz w:val="24"/>
          <w:highlight w:val="none"/>
          <w:u w:val="single"/>
        </w:rPr>
        <w:t>）</w:t>
      </w:r>
      <w:r>
        <w:rPr>
          <w:rFonts w:hint="eastAsia" w:ascii="仿宋_GB2312" w:hAnsi="仿宋_GB2312" w:eastAsia="仿宋_GB2312" w:cs="仿宋_GB2312"/>
          <w:color w:val="auto"/>
          <w:spacing w:val="11"/>
          <w:sz w:val="24"/>
          <w:highlight w:val="none"/>
          <w:u w:val="single"/>
        </w:rPr>
        <w:t xml:space="preserve"> </w:t>
      </w:r>
      <w:r>
        <w:rPr>
          <w:rFonts w:hint="eastAsia" w:ascii="仿宋_GB2312" w:hAnsi="仿宋_GB2312" w:eastAsia="仿宋_GB2312" w:cs="仿宋_GB2312"/>
          <w:color w:val="auto"/>
          <w:spacing w:val="-54"/>
          <w:sz w:val="24"/>
          <w:highlight w:val="none"/>
        </w:rPr>
        <w:t>，</w:t>
      </w:r>
      <w:r>
        <w:rPr>
          <w:rFonts w:hint="eastAsia" w:ascii="仿宋_GB2312" w:hAnsi="仿宋_GB2312" w:eastAsia="仿宋_GB2312" w:cs="仿宋_GB2312"/>
          <w:color w:val="auto"/>
          <w:spacing w:val="-3"/>
          <w:sz w:val="24"/>
          <w:highlight w:val="none"/>
        </w:rPr>
        <w:t>属于</w:t>
      </w:r>
      <w:r>
        <w:rPr>
          <w:rFonts w:hint="eastAsia" w:ascii="仿宋_GB2312" w:hAnsi="仿宋_GB2312" w:eastAsia="仿宋_GB2312" w:cs="仿宋_GB2312"/>
          <w:color w:val="auto"/>
          <w:spacing w:val="-3"/>
          <w:sz w:val="24"/>
          <w:highlight w:val="none"/>
          <w:u w:val="single"/>
        </w:rPr>
        <w:t>（采购文件中明确的所属行业）</w:t>
      </w:r>
      <w:r>
        <w:rPr>
          <w:rFonts w:hint="eastAsia" w:ascii="仿宋_GB2312" w:hAnsi="仿宋_GB2312" w:eastAsia="仿宋_GB2312" w:cs="仿宋_GB2312"/>
          <w:color w:val="auto"/>
          <w:spacing w:val="-4"/>
          <w:sz w:val="24"/>
          <w:highlight w:val="none"/>
          <w:u w:val="single"/>
        </w:rPr>
        <w:t xml:space="preserve"> </w:t>
      </w:r>
      <w:r>
        <w:rPr>
          <w:rFonts w:hint="eastAsia" w:ascii="仿宋_GB2312" w:hAnsi="仿宋_GB2312" w:eastAsia="仿宋_GB2312" w:cs="仿宋_GB2312"/>
          <w:color w:val="auto"/>
          <w:spacing w:val="-3"/>
          <w:sz w:val="24"/>
          <w:highlight w:val="none"/>
        </w:rPr>
        <w:t>行业；</w:t>
      </w:r>
      <w:r>
        <w:rPr>
          <w:rFonts w:hint="eastAsia" w:ascii="仿宋_GB2312" w:hAnsi="仿宋_GB2312" w:eastAsia="仿宋_GB2312" w:cs="仿宋_GB2312"/>
          <w:color w:val="auto"/>
          <w:spacing w:val="45"/>
          <w:sz w:val="24"/>
          <w:highlight w:val="none"/>
        </w:rPr>
        <w:t xml:space="preserve"> </w:t>
      </w:r>
      <w:r>
        <w:rPr>
          <w:rFonts w:hint="eastAsia" w:ascii="仿宋_GB2312" w:hAnsi="仿宋_GB2312" w:eastAsia="仿宋_GB2312" w:cs="仿宋_GB2312"/>
          <w:color w:val="auto"/>
          <w:spacing w:val="-3"/>
          <w:sz w:val="24"/>
          <w:highlight w:val="none"/>
        </w:rPr>
        <w:t>制造商为</w:t>
      </w:r>
      <w:r>
        <w:rPr>
          <w:rFonts w:hint="eastAsia" w:ascii="仿宋_GB2312" w:hAnsi="仿宋_GB2312" w:eastAsia="仿宋_GB2312" w:cs="仿宋_GB2312"/>
          <w:color w:val="auto"/>
          <w:spacing w:val="-3"/>
          <w:sz w:val="24"/>
          <w:highlight w:val="none"/>
          <w:u w:val="single"/>
        </w:rPr>
        <w:t>（企业名称</w:t>
      </w:r>
      <w:r>
        <w:rPr>
          <w:rFonts w:hint="eastAsia" w:ascii="仿宋_GB2312" w:hAnsi="仿宋_GB2312" w:eastAsia="仿宋_GB2312" w:cs="仿宋_GB2312"/>
          <w:color w:val="auto"/>
          <w:spacing w:val="-54"/>
          <w:sz w:val="24"/>
          <w:highlight w:val="none"/>
          <w:u w:val="single"/>
        </w:rPr>
        <w:t>）</w:t>
      </w:r>
      <w:r>
        <w:rPr>
          <w:rFonts w:hint="eastAsia" w:ascii="仿宋_GB2312" w:hAnsi="仿宋_GB2312" w:eastAsia="仿宋_GB2312" w:cs="仿宋_GB2312"/>
          <w:color w:val="auto"/>
          <w:spacing w:val="9"/>
          <w:sz w:val="24"/>
          <w:highlight w:val="none"/>
          <w:u w:val="single"/>
        </w:rPr>
        <w:t xml:space="preserve"> </w:t>
      </w:r>
      <w:r>
        <w:rPr>
          <w:rFonts w:hint="eastAsia" w:ascii="仿宋_GB2312" w:hAnsi="仿宋_GB2312" w:eastAsia="仿宋_GB2312" w:cs="仿宋_GB2312"/>
          <w:color w:val="auto"/>
          <w:spacing w:val="-54"/>
          <w:sz w:val="24"/>
          <w:highlight w:val="none"/>
        </w:rPr>
        <w:t>，</w:t>
      </w:r>
      <w:r>
        <w:rPr>
          <w:rFonts w:hint="eastAsia" w:ascii="仿宋_GB2312" w:hAnsi="仿宋_GB2312" w:eastAsia="仿宋_GB2312" w:cs="仿宋_GB2312"/>
          <w:color w:val="auto"/>
          <w:spacing w:val="-3"/>
          <w:sz w:val="24"/>
          <w:highlight w:val="none"/>
        </w:rPr>
        <w:t>从业人员__________________人，</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pacing w:val="1"/>
          <w:sz w:val="24"/>
          <w:highlight w:val="none"/>
        </w:rPr>
        <w:t>营业收入为__________________万元，资产总额为__________________万元</w:t>
      </w:r>
      <w:r>
        <w:rPr>
          <w:rFonts w:hint="eastAsia" w:ascii="仿宋_GB2312" w:hAnsi="仿宋_GB2312" w:eastAsia="仿宋_GB2312" w:cs="仿宋_GB2312"/>
          <w:color w:val="auto"/>
          <w:spacing w:val="1"/>
          <w:position w:val="3"/>
          <w:sz w:val="24"/>
          <w:highlight w:val="none"/>
        </w:rPr>
        <w:t>1</w:t>
      </w:r>
      <w:r>
        <w:rPr>
          <w:rFonts w:hint="eastAsia" w:ascii="仿宋_GB2312" w:hAnsi="仿宋_GB2312" w:eastAsia="仿宋_GB2312" w:cs="仿宋_GB2312"/>
          <w:color w:val="auto"/>
          <w:spacing w:val="2"/>
          <w:w w:val="103"/>
          <w:position w:val="3"/>
          <w:sz w:val="24"/>
          <w:highlight w:val="none"/>
        </w:rPr>
        <w:t xml:space="preserve"> </w:t>
      </w:r>
      <w:r>
        <w:rPr>
          <w:rFonts w:hint="eastAsia" w:ascii="仿宋_GB2312" w:hAnsi="仿宋_GB2312" w:eastAsia="仿宋_GB2312" w:cs="仿宋_GB2312"/>
          <w:color w:val="auto"/>
          <w:spacing w:val="1"/>
          <w:sz w:val="24"/>
          <w:highlight w:val="none"/>
        </w:rPr>
        <w:t>，属于</w:t>
      </w:r>
      <w:r>
        <w:rPr>
          <w:rFonts w:hint="eastAsia" w:ascii="仿宋_GB2312" w:hAnsi="仿宋_GB2312" w:eastAsia="仿宋_GB2312" w:cs="仿宋_GB2312"/>
          <w:color w:val="auto"/>
          <w:spacing w:val="1"/>
          <w:sz w:val="24"/>
          <w:highlight w:val="none"/>
          <w:u w:val="single"/>
        </w:rPr>
        <w:t>（中型企业、小型企业、微型企业</w:t>
      </w:r>
      <w:r>
        <w:rPr>
          <w:rFonts w:hint="eastAsia" w:ascii="仿宋_GB2312" w:hAnsi="仿宋_GB2312" w:eastAsia="仿宋_GB2312" w:cs="仿宋_GB2312"/>
          <w:color w:val="auto"/>
          <w:spacing w:val="-51"/>
          <w:sz w:val="24"/>
          <w:highlight w:val="none"/>
          <w:u w:val="single"/>
        </w:rPr>
        <w:t>）</w:t>
      </w:r>
      <w:r>
        <w:rPr>
          <w:rFonts w:hint="eastAsia" w:ascii="仿宋_GB2312" w:hAnsi="仿宋_GB2312" w:eastAsia="仿宋_GB2312" w:cs="仿宋_GB2312"/>
          <w:color w:val="auto"/>
          <w:spacing w:val="7"/>
          <w:sz w:val="24"/>
          <w:highlight w:val="none"/>
          <w:u w:val="single"/>
        </w:rPr>
        <w:t xml:space="preserve"> </w:t>
      </w:r>
      <w:r>
        <w:rPr>
          <w:rFonts w:hint="eastAsia" w:ascii="仿宋_GB2312" w:hAnsi="仿宋_GB2312" w:eastAsia="仿宋_GB2312" w:cs="仿宋_GB2312"/>
          <w:color w:val="auto"/>
          <w:spacing w:val="-51"/>
          <w:sz w:val="24"/>
          <w:highlight w:val="none"/>
        </w:rPr>
        <w:t>；</w:t>
      </w:r>
    </w:p>
    <w:p w14:paraId="62426E55">
      <w:pPr>
        <w:spacing w:before="96"/>
        <w:ind w:firstLine="404"/>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1"/>
          <w:sz w:val="24"/>
          <w:highlight w:val="none"/>
        </w:rPr>
        <w:t>…</w:t>
      </w:r>
      <w:r>
        <w:rPr>
          <w:rFonts w:hint="eastAsia" w:ascii="仿宋_GB2312" w:hAnsi="仿宋_GB2312" w:eastAsia="仿宋_GB2312" w:cs="仿宋_GB2312"/>
          <w:color w:val="auto"/>
          <w:spacing w:val="-37"/>
          <w:sz w:val="24"/>
          <w:highlight w:val="none"/>
        </w:rPr>
        <w:t xml:space="preserve"> </w:t>
      </w:r>
      <w:r>
        <w:rPr>
          <w:rFonts w:hint="eastAsia" w:ascii="仿宋_GB2312" w:hAnsi="仿宋_GB2312" w:eastAsia="仿宋_GB2312" w:cs="仿宋_GB2312"/>
          <w:color w:val="auto"/>
          <w:spacing w:val="-11"/>
          <w:sz w:val="24"/>
          <w:highlight w:val="none"/>
        </w:rPr>
        <w:t>…</w:t>
      </w:r>
    </w:p>
    <w:p w14:paraId="5B853A3D">
      <w:pPr>
        <w:spacing w:before="219"/>
        <w:ind w:firstLine="411"/>
        <w:rPr>
          <w:rFonts w:ascii="仿宋_GB2312" w:hAnsi="仿宋_GB2312" w:eastAsia="仿宋_GB2312" w:cs="仿宋_GB2312"/>
          <w:color w:val="auto"/>
          <w:spacing w:val="1"/>
          <w:sz w:val="24"/>
          <w:highlight w:val="none"/>
        </w:rPr>
      </w:pPr>
      <w:r>
        <w:rPr>
          <w:rFonts w:hint="eastAsia" w:ascii="仿宋_GB2312" w:hAnsi="仿宋_GB2312" w:eastAsia="仿宋_GB2312" w:cs="仿宋_GB2312"/>
          <w:color w:val="auto"/>
          <w:spacing w:val="1"/>
          <w:sz w:val="24"/>
          <w:highlight w:val="none"/>
        </w:rPr>
        <w:t>以上企业，不属于大企业的分支机构，不存在控股股东为大企业的情形，也不存在与大企业的负责人为同一人的情形。</w:t>
      </w:r>
    </w:p>
    <w:p w14:paraId="067B242C">
      <w:pPr>
        <w:spacing w:before="219"/>
        <w:ind w:firstLine="41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本企业对上述声明内容的真实性负责。如有虚假，将依法承担相应责任。</w:t>
      </w:r>
    </w:p>
    <w:p w14:paraId="2046C170">
      <w:pPr>
        <w:pStyle w:val="9"/>
        <w:tabs>
          <w:tab w:val="left" w:pos="3992"/>
        </w:tabs>
        <w:spacing w:line="240" w:lineRule="auto"/>
        <w:rPr>
          <w:rFonts w:ascii="仿宋_GB2312" w:hAnsi="仿宋_GB2312" w:eastAsia="仿宋_GB2312" w:cs="仿宋_GB2312"/>
          <w:color w:val="auto"/>
          <w:sz w:val="24"/>
          <w:szCs w:val="24"/>
          <w:highlight w:val="none"/>
        </w:rPr>
      </w:pPr>
    </w:p>
    <w:p w14:paraId="55D66241">
      <w:pPr>
        <w:pStyle w:val="9"/>
        <w:tabs>
          <w:tab w:val="left" w:pos="3992"/>
        </w:tabs>
        <w:spacing w:line="240" w:lineRule="auto"/>
        <w:rPr>
          <w:rFonts w:ascii="仿宋_GB2312" w:hAnsi="仿宋_GB2312" w:eastAsia="仿宋_GB2312" w:cs="仿宋_GB2312"/>
          <w:color w:val="auto"/>
          <w:sz w:val="24"/>
          <w:szCs w:val="24"/>
          <w:highlight w:val="none"/>
        </w:rPr>
      </w:pPr>
    </w:p>
    <w:p w14:paraId="0EC79720">
      <w:pPr>
        <w:pStyle w:val="9"/>
        <w:tabs>
          <w:tab w:val="left" w:pos="3992"/>
        </w:tabs>
        <w:spacing w:line="240" w:lineRule="auto"/>
        <w:rPr>
          <w:rFonts w:ascii="仿宋_GB2312" w:hAnsi="仿宋_GB2312" w:eastAsia="仿宋_GB2312" w:cs="仿宋_GB2312"/>
          <w:color w:val="auto"/>
          <w:sz w:val="24"/>
          <w:szCs w:val="24"/>
          <w:highlight w:val="none"/>
        </w:rPr>
      </w:pPr>
    </w:p>
    <w:p w14:paraId="17D11945">
      <w:pPr>
        <w:pStyle w:val="9"/>
        <w:tabs>
          <w:tab w:val="left" w:pos="3992"/>
        </w:tabs>
        <w:spacing w:line="240" w:lineRule="auto"/>
        <w:rPr>
          <w:rFonts w:ascii="仿宋_GB2312" w:hAnsi="仿宋_GB2312" w:eastAsia="仿宋_GB2312" w:cs="仿宋_GB2312"/>
          <w:color w:val="auto"/>
          <w:sz w:val="24"/>
          <w:szCs w:val="24"/>
          <w:highlight w:val="none"/>
        </w:rPr>
      </w:pPr>
    </w:p>
    <w:p w14:paraId="119D5F72">
      <w:pPr>
        <w:pStyle w:val="9"/>
        <w:tabs>
          <w:tab w:val="left" w:pos="3992"/>
        </w:tabs>
        <w:spacing w:line="240" w:lineRule="auto"/>
        <w:jc w:val="righ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企业名称（盖章）：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p>
    <w:p w14:paraId="636A3EE0">
      <w:pPr>
        <w:pStyle w:val="9"/>
        <w:spacing w:before="140" w:line="240" w:lineRule="auto"/>
        <w:ind w:left="60" w:hanging="60" w:hangingChars="25"/>
        <w:jc w:val="righ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 年 月 日</w:t>
      </w:r>
    </w:p>
    <w:p w14:paraId="4546A2CD">
      <w:pPr>
        <w:spacing w:before="1"/>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1：从业人员、营业收入、资产总额填报上一年度数据，无上一年度数据的新成立企业可不填报</w:t>
      </w:r>
    </w:p>
    <w:p w14:paraId="47A8E154">
      <w:pPr>
        <w:spacing w:before="1"/>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2：投标人应当对其出具的《中小企业声明函》真实性负责，投标人出具的《中小企业声明函》内容不实的，属于提供虚 假材料谋取中标。在实际操作中，投标人希望获得中小企业扶持政策支持的，应从制造商处获得充分、准确的信息。对相关制造商信息了解不充分，或者不能确定相关信息真实、准确的，不建议出具《中小企业声明函》</w:t>
      </w:r>
    </w:p>
    <w:p w14:paraId="4A948F82">
      <w:pPr>
        <w:rPr>
          <w:rFonts w:ascii="仿宋_GB2312" w:hAnsi="仿宋_GB2312" w:eastAsia="仿宋_GB2312" w:cs="仿宋_GB2312"/>
          <w:color w:val="auto"/>
          <w:spacing w:val="1"/>
          <w:sz w:val="24"/>
          <w:highlight w:val="none"/>
        </w:rPr>
      </w:pPr>
      <w:r>
        <w:rPr>
          <w:rFonts w:hint="eastAsia" w:ascii="仿宋_GB2312" w:hAnsi="仿宋_GB2312" w:eastAsia="仿宋_GB2312" w:cs="仿宋_GB2312"/>
          <w:color w:val="auto"/>
          <w:spacing w:val="1"/>
          <w:sz w:val="24"/>
          <w:highlight w:val="none"/>
        </w:rPr>
        <w:br w:type="page"/>
      </w:r>
    </w:p>
    <w:p w14:paraId="49A1302A">
      <w:pPr>
        <w:spacing w:before="200"/>
        <w:ind w:firstLine="3544"/>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7"/>
          <w:sz w:val="24"/>
          <w:highlight w:val="none"/>
        </w:rPr>
        <w:t>中小企业声明函（工程、服务）</w:t>
      </w:r>
    </w:p>
    <w:p w14:paraId="5131DCF7">
      <w:pPr>
        <w:spacing w:before="175"/>
        <w:ind w:firstLine="3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1"/>
          <w:sz w:val="24"/>
          <w:highlight w:val="none"/>
        </w:rPr>
        <w:t>本公司（联合体）</w:t>
      </w:r>
      <w:r>
        <w:rPr>
          <w:rFonts w:hint="eastAsia" w:ascii="仿宋_GB2312" w:hAnsi="仿宋_GB2312" w:eastAsia="仿宋_GB2312" w:cs="仿宋_GB2312"/>
          <w:color w:val="auto"/>
          <w:spacing w:val="27"/>
          <w:sz w:val="24"/>
          <w:highlight w:val="none"/>
        </w:rPr>
        <w:t xml:space="preserve"> </w:t>
      </w:r>
      <w:r>
        <w:rPr>
          <w:rFonts w:hint="eastAsia" w:ascii="仿宋_GB2312" w:hAnsi="仿宋_GB2312" w:eastAsia="仿宋_GB2312" w:cs="仿宋_GB2312"/>
          <w:color w:val="auto"/>
          <w:spacing w:val="-11"/>
          <w:sz w:val="24"/>
          <w:highlight w:val="none"/>
        </w:rPr>
        <w:t>郑重声明，根据《政府采购促进中小企业发展管理办法》</w:t>
      </w:r>
      <w:r>
        <w:rPr>
          <w:rFonts w:hint="eastAsia" w:ascii="仿宋_GB2312" w:hAnsi="仿宋_GB2312" w:eastAsia="仿宋_GB2312" w:cs="仿宋_GB2312"/>
          <w:color w:val="auto"/>
          <w:spacing w:val="-8"/>
          <w:sz w:val="24"/>
          <w:highlight w:val="none"/>
        </w:rPr>
        <w:t xml:space="preserve"> </w:t>
      </w:r>
      <w:r>
        <w:rPr>
          <w:rFonts w:hint="eastAsia" w:ascii="仿宋_GB2312" w:hAnsi="仿宋_GB2312" w:eastAsia="仿宋_GB2312" w:cs="仿宋_GB2312"/>
          <w:color w:val="auto"/>
          <w:spacing w:val="-11"/>
          <w:sz w:val="24"/>
          <w:highlight w:val="none"/>
        </w:rPr>
        <w:t>（财库</w:t>
      </w:r>
      <w:r>
        <w:rPr>
          <w:rFonts w:hint="eastAsia" w:ascii="仿宋_GB2312" w:hAnsi="仿宋_GB2312" w:eastAsia="仿宋_GB2312" w:cs="仿宋_GB2312"/>
          <w:color w:val="auto"/>
          <w:spacing w:val="-25"/>
          <w:sz w:val="24"/>
          <w:highlight w:val="none"/>
        </w:rPr>
        <w:t xml:space="preserve"> </w:t>
      </w:r>
      <w:r>
        <w:rPr>
          <w:rFonts w:hint="eastAsia" w:ascii="仿宋_GB2312" w:hAnsi="仿宋_GB2312" w:eastAsia="仿宋_GB2312" w:cs="仿宋_GB2312"/>
          <w:color w:val="auto"/>
          <w:spacing w:val="-11"/>
          <w:sz w:val="24"/>
          <w:highlight w:val="none"/>
        </w:rPr>
        <w:t>﹝</w:t>
      </w:r>
      <w:r>
        <w:rPr>
          <w:rFonts w:hint="eastAsia" w:ascii="仿宋_GB2312" w:hAnsi="仿宋_GB2312" w:eastAsia="仿宋_GB2312" w:cs="仿宋_GB2312"/>
          <w:color w:val="auto"/>
          <w:spacing w:val="2"/>
          <w:sz w:val="24"/>
          <w:highlight w:val="none"/>
        </w:rPr>
        <w:t xml:space="preserve"> </w:t>
      </w:r>
      <w:r>
        <w:rPr>
          <w:rFonts w:hint="eastAsia" w:ascii="仿宋_GB2312" w:hAnsi="仿宋_GB2312" w:eastAsia="仿宋_GB2312" w:cs="仿宋_GB2312"/>
          <w:color w:val="auto"/>
          <w:spacing w:val="-11"/>
          <w:sz w:val="24"/>
          <w:highlight w:val="none"/>
        </w:rPr>
        <w:t>2020</w:t>
      </w:r>
      <w:r>
        <w:rPr>
          <w:rFonts w:hint="eastAsia" w:ascii="仿宋_GB2312" w:hAnsi="仿宋_GB2312" w:eastAsia="仿宋_GB2312" w:cs="仿宋_GB2312"/>
          <w:color w:val="auto"/>
          <w:spacing w:val="23"/>
          <w:sz w:val="24"/>
          <w:highlight w:val="none"/>
        </w:rPr>
        <w:t xml:space="preserve"> </w:t>
      </w:r>
      <w:r>
        <w:rPr>
          <w:rFonts w:hint="eastAsia" w:ascii="仿宋_GB2312" w:hAnsi="仿宋_GB2312" w:eastAsia="仿宋_GB2312" w:cs="仿宋_GB2312"/>
          <w:color w:val="auto"/>
          <w:spacing w:val="-11"/>
          <w:sz w:val="24"/>
          <w:highlight w:val="none"/>
        </w:rPr>
        <w:t>﹞</w:t>
      </w:r>
      <w:r>
        <w:rPr>
          <w:rFonts w:hint="eastAsia" w:ascii="仿宋_GB2312" w:hAnsi="仿宋_GB2312" w:eastAsia="仿宋_GB2312" w:cs="仿宋_GB2312"/>
          <w:color w:val="auto"/>
          <w:spacing w:val="-17"/>
          <w:sz w:val="24"/>
          <w:highlight w:val="none"/>
        </w:rPr>
        <w:t xml:space="preserve"> </w:t>
      </w:r>
      <w:r>
        <w:rPr>
          <w:rFonts w:hint="eastAsia" w:ascii="仿宋_GB2312" w:hAnsi="仿宋_GB2312" w:eastAsia="仿宋_GB2312" w:cs="仿宋_GB2312"/>
          <w:color w:val="auto"/>
          <w:spacing w:val="-11"/>
          <w:sz w:val="24"/>
          <w:highlight w:val="none"/>
        </w:rPr>
        <w:t>46</w:t>
      </w:r>
      <w:r>
        <w:rPr>
          <w:rFonts w:hint="eastAsia" w:ascii="仿宋_GB2312" w:hAnsi="仿宋_GB2312" w:eastAsia="仿宋_GB2312" w:cs="仿宋_GB2312"/>
          <w:color w:val="auto"/>
          <w:spacing w:val="11"/>
          <w:sz w:val="24"/>
          <w:highlight w:val="none"/>
        </w:rPr>
        <w:t xml:space="preserve"> </w:t>
      </w:r>
      <w:r>
        <w:rPr>
          <w:rFonts w:hint="eastAsia" w:ascii="仿宋_GB2312" w:hAnsi="仿宋_GB2312" w:eastAsia="仿宋_GB2312" w:cs="仿宋_GB2312"/>
          <w:color w:val="auto"/>
          <w:spacing w:val="-11"/>
          <w:sz w:val="24"/>
          <w:highlight w:val="none"/>
        </w:rPr>
        <w:t>号）</w:t>
      </w:r>
      <w:r>
        <w:rPr>
          <w:rFonts w:hint="eastAsia" w:ascii="仿宋_GB2312" w:hAnsi="仿宋_GB2312" w:eastAsia="仿宋_GB2312" w:cs="仿宋_GB2312"/>
          <w:color w:val="auto"/>
          <w:spacing w:val="25"/>
          <w:sz w:val="24"/>
          <w:highlight w:val="none"/>
        </w:rPr>
        <w:t xml:space="preserve"> </w:t>
      </w:r>
      <w:r>
        <w:rPr>
          <w:rFonts w:hint="eastAsia" w:ascii="仿宋_GB2312" w:hAnsi="仿宋_GB2312" w:eastAsia="仿宋_GB2312" w:cs="仿宋_GB2312"/>
          <w:color w:val="auto"/>
          <w:spacing w:val="-11"/>
          <w:sz w:val="24"/>
          <w:highlight w:val="none"/>
        </w:rPr>
        <w:t>的规定，本公司</w:t>
      </w:r>
      <w:r>
        <w:rPr>
          <w:rFonts w:hint="eastAsia" w:ascii="仿宋_GB2312" w:hAnsi="仿宋_GB2312" w:eastAsia="仿宋_GB2312" w:cs="仿宋_GB2312"/>
          <w:color w:val="auto"/>
          <w:spacing w:val="-6"/>
          <w:sz w:val="24"/>
          <w:highlight w:val="none"/>
        </w:rPr>
        <w:t>（联合体）参加</w:t>
      </w:r>
      <w:r>
        <w:rPr>
          <w:rFonts w:hint="eastAsia" w:ascii="仿宋_GB2312" w:hAnsi="仿宋_GB2312" w:eastAsia="仿宋_GB2312" w:cs="仿宋_GB2312"/>
          <w:color w:val="auto"/>
          <w:spacing w:val="-6"/>
          <w:sz w:val="24"/>
          <w:highlight w:val="none"/>
          <w:u w:val="single"/>
        </w:rPr>
        <w:t>（单位名称）</w:t>
      </w:r>
      <w:r>
        <w:rPr>
          <w:rFonts w:hint="eastAsia" w:ascii="仿宋_GB2312" w:hAnsi="仿宋_GB2312" w:eastAsia="仿宋_GB2312" w:cs="仿宋_GB2312"/>
          <w:color w:val="auto"/>
          <w:spacing w:val="10"/>
          <w:sz w:val="24"/>
          <w:highlight w:val="none"/>
          <w:u w:val="single"/>
        </w:rPr>
        <w:t xml:space="preserve"> </w:t>
      </w:r>
      <w:r>
        <w:rPr>
          <w:rFonts w:hint="eastAsia" w:ascii="仿宋_GB2312" w:hAnsi="仿宋_GB2312" w:eastAsia="仿宋_GB2312" w:cs="仿宋_GB2312"/>
          <w:color w:val="auto"/>
          <w:spacing w:val="-6"/>
          <w:sz w:val="24"/>
          <w:highlight w:val="none"/>
        </w:rPr>
        <w:t>的</w:t>
      </w:r>
      <w:r>
        <w:rPr>
          <w:rFonts w:hint="eastAsia" w:ascii="仿宋_GB2312" w:hAnsi="仿宋_GB2312" w:eastAsia="仿宋_GB2312" w:cs="仿宋_GB2312"/>
          <w:color w:val="auto"/>
          <w:spacing w:val="-6"/>
          <w:sz w:val="24"/>
          <w:highlight w:val="none"/>
          <w:u w:val="single"/>
        </w:rPr>
        <w:t>东莞市社会保险基金管理中心</w:t>
      </w:r>
      <w:r>
        <w:rPr>
          <w:rFonts w:hint="eastAsia" w:ascii="仿宋_GB2312" w:hAnsi="仿宋_GB2312" w:eastAsia="仿宋_GB2312" w:cs="仿宋_GB2312"/>
          <w:color w:val="auto"/>
          <w:spacing w:val="-6"/>
          <w:sz w:val="24"/>
          <w:highlight w:val="none"/>
          <w:u w:val="single"/>
          <w:lang w:val="en-US" w:eastAsia="zh-CN"/>
        </w:rPr>
        <w:t>XX</w:t>
      </w:r>
      <w:r>
        <w:rPr>
          <w:rFonts w:hint="eastAsia" w:ascii="仿宋_GB2312" w:hAnsi="仿宋_GB2312" w:eastAsia="仿宋_GB2312" w:cs="仿宋_GB2312"/>
          <w:color w:val="auto"/>
          <w:spacing w:val="-6"/>
          <w:sz w:val="24"/>
          <w:highlight w:val="none"/>
          <w:u w:val="single"/>
        </w:rPr>
        <w:t>项目</w:t>
      </w:r>
      <w:r>
        <w:rPr>
          <w:rFonts w:hint="eastAsia" w:ascii="仿宋_GB2312" w:hAnsi="仿宋_GB2312" w:eastAsia="仿宋_GB2312" w:cs="仿宋_GB2312"/>
          <w:color w:val="auto"/>
          <w:spacing w:val="-6"/>
          <w:sz w:val="24"/>
          <w:highlight w:val="none"/>
          <w:u w:val="single"/>
          <w:lang w:eastAsia="zh-CN"/>
        </w:rPr>
        <w:t>（</w:t>
      </w:r>
      <w:r>
        <w:rPr>
          <w:rFonts w:hint="eastAsia" w:ascii="仿宋_GB2312" w:hAnsi="仿宋_GB2312" w:eastAsia="仿宋_GB2312" w:cs="仿宋_GB2312"/>
          <w:color w:val="auto"/>
          <w:spacing w:val="-6"/>
          <w:sz w:val="24"/>
          <w:highlight w:val="none"/>
          <w:u w:val="single"/>
          <w:lang w:val="en-US" w:eastAsia="zh-CN"/>
        </w:rPr>
        <w:t>二次</w:t>
      </w:r>
      <w:r>
        <w:rPr>
          <w:rFonts w:hint="eastAsia" w:ascii="仿宋_GB2312" w:hAnsi="仿宋_GB2312" w:eastAsia="仿宋_GB2312" w:cs="仿宋_GB2312"/>
          <w:color w:val="auto"/>
          <w:spacing w:val="-6"/>
          <w:sz w:val="24"/>
          <w:highlight w:val="none"/>
          <w:u w:val="single"/>
          <w:lang w:eastAsia="zh-CN"/>
        </w:rPr>
        <w:t>）</w:t>
      </w:r>
      <w:r>
        <w:rPr>
          <w:rFonts w:hint="eastAsia" w:ascii="仿宋_GB2312" w:hAnsi="仿宋_GB2312" w:eastAsia="仿宋_GB2312" w:cs="仿宋_GB2312"/>
          <w:color w:val="auto"/>
          <w:spacing w:val="-7"/>
          <w:sz w:val="24"/>
          <w:highlight w:val="none"/>
          <w:u w:val="single"/>
        </w:rPr>
        <w:t xml:space="preserve"> </w:t>
      </w:r>
      <w:r>
        <w:rPr>
          <w:rFonts w:hint="eastAsia" w:ascii="仿宋_GB2312" w:hAnsi="仿宋_GB2312" w:eastAsia="仿宋_GB2312" w:cs="仿宋_GB2312"/>
          <w:color w:val="auto"/>
          <w:spacing w:val="-6"/>
          <w:sz w:val="24"/>
          <w:highlight w:val="none"/>
        </w:rPr>
        <w:t>采购活动，工程的施工单位全部为符合政策要求的中小企业（或者：</w:t>
      </w:r>
      <w:r>
        <w:rPr>
          <w:rFonts w:hint="eastAsia" w:ascii="仿宋_GB2312" w:hAnsi="仿宋_GB2312" w:eastAsia="仿宋_GB2312" w:cs="仿宋_GB2312"/>
          <w:color w:val="auto"/>
          <w:spacing w:val="25"/>
          <w:sz w:val="24"/>
          <w:highlight w:val="none"/>
        </w:rPr>
        <w:t xml:space="preserve"> </w:t>
      </w:r>
      <w:r>
        <w:rPr>
          <w:rFonts w:hint="eastAsia" w:ascii="仿宋_GB2312" w:hAnsi="仿宋_GB2312" w:eastAsia="仿宋_GB2312" w:cs="仿宋_GB2312"/>
          <w:color w:val="auto"/>
          <w:spacing w:val="-6"/>
          <w:sz w:val="24"/>
          <w:highlight w:val="none"/>
        </w:rPr>
        <w:t>服务全部由</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pacing w:val="-3"/>
          <w:sz w:val="24"/>
          <w:highlight w:val="none"/>
        </w:rPr>
        <w:t>符合政策要求的中小企业承接）</w:t>
      </w:r>
      <w:r>
        <w:rPr>
          <w:rFonts w:hint="eastAsia" w:ascii="仿宋_GB2312" w:hAnsi="仿宋_GB2312" w:eastAsia="仿宋_GB2312" w:cs="仿宋_GB2312"/>
          <w:color w:val="auto"/>
          <w:spacing w:val="35"/>
          <w:sz w:val="24"/>
          <w:highlight w:val="none"/>
        </w:rPr>
        <w:t xml:space="preserve"> </w:t>
      </w:r>
      <w:r>
        <w:rPr>
          <w:rFonts w:hint="eastAsia" w:ascii="仿宋_GB2312" w:hAnsi="仿宋_GB2312" w:eastAsia="仿宋_GB2312" w:cs="仿宋_GB2312"/>
          <w:color w:val="auto"/>
          <w:spacing w:val="-3"/>
          <w:sz w:val="24"/>
          <w:highlight w:val="none"/>
        </w:rPr>
        <w:t>。相关企业（含联合体中的中小企业、签订分包意向协议的中小企业）</w:t>
      </w:r>
      <w:r>
        <w:rPr>
          <w:rFonts w:hint="eastAsia" w:ascii="仿宋_GB2312" w:hAnsi="仿宋_GB2312" w:eastAsia="仿宋_GB2312" w:cs="仿宋_GB2312"/>
          <w:color w:val="auto"/>
          <w:spacing w:val="30"/>
          <w:sz w:val="24"/>
          <w:highlight w:val="none"/>
        </w:rPr>
        <w:t xml:space="preserve"> </w:t>
      </w:r>
      <w:r>
        <w:rPr>
          <w:rFonts w:hint="eastAsia" w:ascii="仿宋_GB2312" w:hAnsi="仿宋_GB2312" w:eastAsia="仿宋_GB2312" w:cs="仿宋_GB2312"/>
          <w:color w:val="auto"/>
          <w:spacing w:val="-3"/>
          <w:sz w:val="24"/>
          <w:highlight w:val="none"/>
        </w:rPr>
        <w:t>的具体情况如下：</w:t>
      </w:r>
    </w:p>
    <w:p w14:paraId="61555117">
      <w:pPr>
        <w:spacing w:before="3"/>
        <w:ind w:firstLine="40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6"/>
          <w:sz w:val="24"/>
          <w:highlight w:val="none"/>
        </w:rPr>
        <w:t>1.</w:t>
      </w:r>
      <w:r>
        <w:rPr>
          <w:rFonts w:hint="eastAsia" w:ascii="仿宋_GB2312" w:hAnsi="仿宋_GB2312" w:eastAsia="仿宋_GB2312" w:cs="仿宋_GB2312"/>
          <w:color w:val="auto"/>
          <w:spacing w:val="-6"/>
          <w:sz w:val="24"/>
          <w:highlight w:val="none"/>
          <w:u w:val="single"/>
        </w:rPr>
        <w:t>（标的名称</w:t>
      </w:r>
      <w:r>
        <w:rPr>
          <w:rFonts w:hint="eastAsia" w:ascii="仿宋_GB2312" w:hAnsi="仿宋_GB2312" w:eastAsia="仿宋_GB2312" w:cs="仿宋_GB2312"/>
          <w:color w:val="auto"/>
          <w:spacing w:val="-49"/>
          <w:sz w:val="24"/>
          <w:highlight w:val="none"/>
          <w:u w:val="single"/>
        </w:rPr>
        <w:t>）</w:t>
      </w:r>
      <w:r>
        <w:rPr>
          <w:rFonts w:hint="eastAsia" w:ascii="仿宋_GB2312" w:hAnsi="仿宋_GB2312" w:eastAsia="仿宋_GB2312" w:cs="仿宋_GB2312"/>
          <w:color w:val="auto"/>
          <w:spacing w:val="9"/>
          <w:sz w:val="24"/>
          <w:highlight w:val="none"/>
          <w:u w:val="single"/>
        </w:rPr>
        <w:t xml:space="preserve"> </w:t>
      </w:r>
      <w:r>
        <w:rPr>
          <w:rFonts w:hint="eastAsia" w:ascii="仿宋_GB2312" w:hAnsi="仿宋_GB2312" w:eastAsia="仿宋_GB2312" w:cs="仿宋_GB2312"/>
          <w:color w:val="auto"/>
          <w:spacing w:val="-49"/>
          <w:sz w:val="24"/>
          <w:highlight w:val="none"/>
        </w:rPr>
        <w:t>，</w:t>
      </w:r>
      <w:r>
        <w:rPr>
          <w:rFonts w:hint="eastAsia" w:ascii="仿宋_GB2312" w:hAnsi="仿宋_GB2312" w:eastAsia="仿宋_GB2312" w:cs="仿宋_GB2312"/>
          <w:color w:val="auto"/>
          <w:spacing w:val="-6"/>
          <w:sz w:val="24"/>
          <w:highlight w:val="none"/>
        </w:rPr>
        <w:t>属于</w:t>
      </w:r>
      <w:r>
        <w:rPr>
          <w:rFonts w:hint="eastAsia" w:ascii="仿宋_GB2312" w:hAnsi="仿宋_GB2312" w:eastAsia="仿宋_GB2312" w:cs="仿宋_GB2312"/>
          <w:color w:val="auto"/>
          <w:spacing w:val="-6"/>
          <w:sz w:val="24"/>
          <w:highlight w:val="none"/>
          <w:u w:val="single"/>
        </w:rPr>
        <w:t>（采购文件中明确的所属行业）</w:t>
      </w:r>
      <w:r>
        <w:rPr>
          <w:rFonts w:hint="eastAsia" w:ascii="仿宋_GB2312" w:hAnsi="仿宋_GB2312" w:eastAsia="仿宋_GB2312" w:cs="仿宋_GB2312"/>
          <w:color w:val="auto"/>
          <w:spacing w:val="-3"/>
          <w:sz w:val="24"/>
          <w:highlight w:val="none"/>
          <w:u w:val="single"/>
        </w:rPr>
        <w:t xml:space="preserve"> </w:t>
      </w:r>
      <w:r>
        <w:rPr>
          <w:rFonts w:hint="eastAsia" w:ascii="仿宋_GB2312" w:hAnsi="仿宋_GB2312" w:eastAsia="仿宋_GB2312" w:cs="仿宋_GB2312"/>
          <w:color w:val="auto"/>
          <w:spacing w:val="-6"/>
          <w:sz w:val="24"/>
          <w:highlight w:val="none"/>
        </w:rPr>
        <w:t>行业；</w:t>
      </w:r>
      <w:r>
        <w:rPr>
          <w:rFonts w:hint="eastAsia" w:ascii="仿宋_GB2312" w:hAnsi="仿宋_GB2312" w:eastAsia="仿宋_GB2312" w:cs="仿宋_GB2312"/>
          <w:color w:val="auto"/>
          <w:spacing w:val="44"/>
          <w:sz w:val="24"/>
          <w:highlight w:val="none"/>
        </w:rPr>
        <w:t xml:space="preserve"> </w:t>
      </w:r>
      <w:r>
        <w:rPr>
          <w:rFonts w:hint="eastAsia" w:ascii="仿宋_GB2312" w:hAnsi="仿宋_GB2312" w:eastAsia="仿宋_GB2312" w:cs="仿宋_GB2312"/>
          <w:color w:val="auto"/>
          <w:spacing w:val="-6"/>
          <w:sz w:val="24"/>
          <w:highlight w:val="none"/>
        </w:rPr>
        <w:t>承建（承接）</w:t>
      </w:r>
      <w:r>
        <w:rPr>
          <w:rFonts w:hint="eastAsia" w:ascii="仿宋_GB2312" w:hAnsi="仿宋_GB2312" w:eastAsia="仿宋_GB2312" w:cs="仿宋_GB2312"/>
          <w:color w:val="auto"/>
          <w:spacing w:val="-3"/>
          <w:sz w:val="24"/>
          <w:highlight w:val="none"/>
        </w:rPr>
        <w:t xml:space="preserve"> </w:t>
      </w:r>
      <w:r>
        <w:rPr>
          <w:rFonts w:hint="eastAsia" w:ascii="仿宋_GB2312" w:hAnsi="仿宋_GB2312" w:eastAsia="仿宋_GB2312" w:cs="仿宋_GB2312"/>
          <w:color w:val="auto"/>
          <w:spacing w:val="-6"/>
          <w:sz w:val="24"/>
          <w:highlight w:val="none"/>
        </w:rPr>
        <w:t>企业为</w:t>
      </w:r>
      <w:r>
        <w:rPr>
          <w:rFonts w:hint="eastAsia" w:ascii="仿宋_GB2312" w:hAnsi="仿宋_GB2312" w:eastAsia="仿宋_GB2312" w:cs="仿宋_GB2312"/>
          <w:color w:val="auto"/>
          <w:spacing w:val="-6"/>
          <w:sz w:val="24"/>
          <w:highlight w:val="none"/>
          <w:u w:val="single"/>
        </w:rPr>
        <w:t>（企业名称</w:t>
      </w:r>
      <w:r>
        <w:rPr>
          <w:rFonts w:hint="eastAsia" w:ascii="仿宋_GB2312" w:hAnsi="仿宋_GB2312" w:eastAsia="仿宋_GB2312" w:cs="仿宋_GB2312"/>
          <w:color w:val="auto"/>
          <w:spacing w:val="-49"/>
          <w:sz w:val="24"/>
          <w:highlight w:val="none"/>
          <w:u w:val="single"/>
        </w:rPr>
        <w:t>）</w:t>
      </w:r>
      <w:r>
        <w:rPr>
          <w:rFonts w:hint="eastAsia" w:ascii="仿宋_GB2312" w:hAnsi="仿宋_GB2312" w:eastAsia="仿宋_GB2312" w:cs="仿宋_GB2312"/>
          <w:color w:val="auto"/>
          <w:spacing w:val="9"/>
          <w:sz w:val="24"/>
          <w:highlight w:val="none"/>
          <w:u w:val="single"/>
        </w:rPr>
        <w:t xml:space="preserve"> </w:t>
      </w:r>
      <w:r>
        <w:rPr>
          <w:rFonts w:hint="eastAsia" w:ascii="仿宋_GB2312" w:hAnsi="仿宋_GB2312" w:eastAsia="仿宋_GB2312" w:cs="仿宋_GB2312"/>
          <w:color w:val="auto"/>
          <w:spacing w:val="-49"/>
          <w:sz w:val="24"/>
          <w:highlight w:val="none"/>
        </w:rPr>
        <w:t>，</w:t>
      </w:r>
      <w:r>
        <w:rPr>
          <w:rFonts w:hint="eastAsia" w:ascii="仿宋_GB2312" w:hAnsi="仿宋_GB2312" w:eastAsia="仿宋_GB2312" w:cs="仿宋_GB2312"/>
          <w:color w:val="auto"/>
          <w:spacing w:val="-6"/>
          <w:sz w:val="24"/>
          <w:highlight w:val="none"/>
        </w:rPr>
        <w:t>从业人员</w:t>
      </w:r>
      <w:r>
        <w:rPr>
          <w:rFonts w:hint="eastAsia" w:ascii="仿宋_GB2312" w:hAnsi="仿宋_GB2312" w:eastAsia="仿宋_GB2312" w:cs="仿宋_GB2312"/>
          <w:color w:val="auto"/>
          <w:spacing w:val="1"/>
          <w:sz w:val="24"/>
          <w:highlight w:val="none"/>
        </w:rPr>
        <w:t>__________________人，营业收入为__________________万元，资产总额为__________________万元</w:t>
      </w:r>
      <w:r>
        <w:rPr>
          <w:rFonts w:hint="eastAsia" w:ascii="仿宋_GB2312" w:hAnsi="仿宋_GB2312" w:eastAsia="仿宋_GB2312" w:cs="仿宋_GB2312"/>
          <w:color w:val="auto"/>
          <w:spacing w:val="1"/>
          <w:position w:val="3"/>
          <w:sz w:val="24"/>
          <w:highlight w:val="none"/>
        </w:rPr>
        <w:t>1</w:t>
      </w:r>
      <w:r>
        <w:rPr>
          <w:rFonts w:hint="eastAsia" w:ascii="仿宋_GB2312" w:hAnsi="仿宋_GB2312" w:eastAsia="仿宋_GB2312" w:cs="仿宋_GB2312"/>
          <w:color w:val="auto"/>
          <w:spacing w:val="8"/>
          <w:position w:val="3"/>
          <w:sz w:val="24"/>
          <w:highlight w:val="none"/>
        </w:rPr>
        <w:t xml:space="preserve"> </w:t>
      </w:r>
      <w:r>
        <w:rPr>
          <w:rFonts w:hint="eastAsia" w:ascii="仿宋_GB2312" w:hAnsi="仿宋_GB2312" w:eastAsia="仿宋_GB2312" w:cs="仿宋_GB2312"/>
          <w:color w:val="auto"/>
          <w:spacing w:val="1"/>
          <w:sz w:val="24"/>
          <w:highlight w:val="none"/>
        </w:rPr>
        <w:t>，属于</w:t>
      </w:r>
      <w:r>
        <w:rPr>
          <w:rFonts w:hint="eastAsia" w:ascii="仿宋_GB2312" w:hAnsi="仿宋_GB2312" w:eastAsia="仿宋_GB2312" w:cs="仿宋_GB2312"/>
          <w:color w:val="auto"/>
          <w:spacing w:val="1"/>
          <w:sz w:val="24"/>
          <w:highlight w:val="none"/>
          <w:u w:val="single"/>
        </w:rPr>
        <w:t>（中型企业、小</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pacing w:val="2"/>
          <w:sz w:val="24"/>
          <w:highlight w:val="none"/>
          <w:u w:val="single"/>
        </w:rPr>
        <w:t>型企业、微型企业</w:t>
      </w:r>
      <w:r>
        <w:rPr>
          <w:rFonts w:hint="eastAsia" w:ascii="仿宋_GB2312" w:hAnsi="仿宋_GB2312" w:eastAsia="仿宋_GB2312" w:cs="仿宋_GB2312"/>
          <w:color w:val="auto"/>
          <w:spacing w:val="-49"/>
          <w:sz w:val="24"/>
          <w:highlight w:val="none"/>
          <w:u w:val="single"/>
        </w:rPr>
        <w:t>）</w:t>
      </w:r>
      <w:r>
        <w:rPr>
          <w:rFonts w:hint="eastAsia" w:ascii="仿宋_GB2312" w:hAnsi="仿宋_GB2312" w:eastAsia="仿宋_GB2312" w:cs="仿宋_GB2312"/>
          <w:color w:val="auto"/>
          <w:spacing w:val="7"/>
          <w:sz w:val="24"/>
          <w:highlight w:val="none"/>
          <w:u w:val="single"/>
        </w:rPr>
        <w:t xml:space="preserve"> </w:t>
      </w:r>
      <w:r>
        <w:rPr>
          <w:rFonts w:hint="eastAsia" w:ascii="仿宋_GB2312" w:hAnsi="仿宋_GB2312" w:eastAsia="仿宋_GB2312" w:cs="仿宋_GB2312"/>
          <w:color w:val="auto"/>
          <w:spacing w:val="-49"/>
          <w:sz w:val="24"/>
          <w:highlight w:val="none"/>
        </w:rPr>
        <w:t>；</w:t>
      </w:r>
    </w:p>
    <w:p w14:paraId="5019D1F3">
      <w:pPr>
        <w:spacing w:before="1"/>
        <w:ind w:firstLine="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sz w:val="24"/>
          <w:highlight w:val="none"/>
        </w:rPr>
        <w:t>2.</w:t>
      </w:r>
      <w:r>
        <w:rPr>
          <w:rFonts w:hint="eastAsia" w:ascii="仿宋_GB2312" w:hAnsi="仿宋_GB2312" w:eastAsia="仿宋_GB2312" w:cs="仿宋_GB2312"/>
          <w:color w:val="auto"/>
          <w:spacing w:val="-5"/>
          <w:sz w:val="24"/>
          <w:highlight w:val="none"/>
          <w:u w:val="single"/>
        </w:rPr>
        <w:t>（标的名称</w:t>
      </w:r>
      <w:r>
        <w:rPr>
          <w:rFonts w:hint="eastAsia" w:ascii="仿宋_GB2312" w:hAnsi="仿宋_GB2312" w:eastAsia="仿宋_GB2312" w:cs="仿宋_GB2312"/>
          <w:color w:val="auto"/>
          <w:spacing w:val="-59"/>
          <w:sz w:val="24"/>
          <w:highlight w:val="none"/>
          <w:u w:val="single"/>
        </w:rPr>
        <w:t>）</w:t>
      </w:r>
      <w:r>
        <w:rPr>
          <w:rFonts w:hint="eastAsia" w:ascii="仿宋_GB2312" w:hAnsi="仿宋_GB2312" w:eastAsia="仿宋_GB2312" w:cs="仿宋_GB2312"/>
          <w:color w:val="auto"/>
          <w:spacing w:val="12"/>
          <w:sz w:val="24"/>
          <w:highlight w:val="none"/>
          <w:u w:val="single"/>
        </w:rPr>
        <w:t xml:space="preserve"> </w:t>
      </w:r>
      <w:r>
        <w:rPr>
          <w:rFonts w:hint="eastAsia" w:ascii="仿宋_GB2312" w:hAnsi="仿宋_GB2312" w:eastAsia="仿宋_GB2312" w:cs="仿宋_GB2312"/>
          <w:color w:val="auto"/>
          <w:spacing w:val="-59"/>
          <w:sz w:val="24"/>
          <w:highlight w:val="none"/>
        </w:rPr>
        <w:t>，</w:t>
      </w:r>
      <w:r>
        <w:rPr>
          <w:rFonts w:hint="eastAsia" w:ascii="仿宋_GB2312" w:hAnsi="仿宋_GB2312" w:eastAsia="仿宋_GB2312" w:cs="仿宋_GB2312"/>
          <w:color w:val="auto"/>
          <w:spacing w:val="-5"/>
          <w:sz w:val="24"/>
          <w:highlight w:val="none"/>
        </w:rPr>
        <w:t>属于</w:t>
      </w:r>
      <w:r>
        <w:rPr>
          <w:rFonts w:hint="eastAsia" w:ascii="仿宋_GB2312" w:hAnsi="仿宋_GB2312" w:eastAsia="仿宋_GB2312" w:cs="仿宋_GB2312"/>
          <w:color w:val="auto"/>
          <w:spacing w:val="-5"/>
          <w:sz w:val="24"/>
          <w:highlight w:val="none"/>
          <w:u w:val="single"/>
        </w:rPr>
        <w:t>（采购文件中明确的所属行业）</w:t>
      </w:r>
      <w:r>
        <w:rPr>
          <w:rFonts w:hint="eastAsia" w:ascii="仿宋_GB2312" w:hAnsi="仿宋_GB2312" w:eastAsia="仿宋_GB2312" w:cs="仿宋_GB2312"/>
          <w:color w:val="auto"/>
          <w:spacing w:val="-3"/>
          <w:sz w:val="24"/>
          <w:highlight w:val="none"/>
          <w:u w:val="single"/>
        </w:rPr>
        <w:t xml:space="preserve"> </w:t>
      </w:r>
      <w:r>
        <w:rPr>
          <w:rFonts w:hint="eastAsia" w:ascii="仿宋_GB2312" w:hAnsi="仿宋_GB2312" w:eastAsia="仿宋_GB2312" w:cs="仿宋_GB2312"/>
          <w:color w:val="auto"/>
          <w:spacing w:val="-5"/>
          <w:sz w:val="24"/>
          <w:highlight w:val="none"/>
        </w:rPr>
        <w:t>行业；</w:t>
      </w:r>
      <w:r>
        <w:rPr>
          <w:rFonts w:hint="eastAsia" w:ascii="仿宋_GB2312" w:hAnsi="仿宋_GB2312" w:eastAsia="仿宋_GB2312" w:cs="仿宋_GB2312"/>
          <w:color w:val="auto"/>
          <w:spacing w:val="44"/>
          <w:sz w:val="24"/>
          <w:highlight w:val="none"/>
        </w:rPr>
        <w:t xml:space="preserve"> </w:t>
      </w:r>
      <w:r>
        <w:rPr>
          <w:rFonts w:hint="eastAsia" w:ascii="仿宋_GB2312" w:hAnsi="仿宋_GB2312" w:eastAsia="仿宋_GB2312" w:cs="仿宋_GB2312"/>
          <w:color w:val="auto"/>
          <w:spacing w:val="-5"/>
          <w:sz w:val="24"/>
          <w:highlight w:val="none"/>
        </w:rPr>
        <w:t>承建（承接）</w:t>
      </w:r>
      <w:r>
        <w:rPr>
          <w:rFonts w:hint="eastAsia" w:ascii="仿宋_GB2312" w:hAnsi="仿宋_GB2312" w:eastAsia="仿宋_GB2312" w:cs="仿宋_GB2312"/>
          <w:color w:val="auto"/>
          <w:spacing w:val="-3"/>
          <w:sz w:val="24"/>
          <w:highlight w:val="none"/>
        </w:rPr>
        <w:t xml:space="preserve"> </w:t>
      </w:r>
      <w:r>
        <w:rPr>
          <w:rFonts w:hint="eastAsia" w:ascii="仿宋_GB2312" w:hAnsi="仿宋_GB2312" w:eastAsia="仿宋_GB2312" w:cs="仿宋_GB2312"/>
          <w:color w:val="auto"/>
          <w:spacing w:val="-5"/>
          <w:sz w:val="24"/>
          <w:highlight w:val="none"/>
        </w:rPr>
        <w:t>企业为</w:t>
      </w:r>
      <w:r>
        <w:rPr>
          <w:rFonts w:hint="eastAsia" w:ascii="仿宋_GB2312" w:hAnsi="仿宋_GB2312" w:eastAsia="仿宋_GB2312" w:cs="仿宋_GB2312"/>
          <w:color w:val="auto"/>
          <w:spacing w:val="-5"/>
          <w:sz w:val="24"/>
          <w:highlight w:val="none"/>
          <w:u w:val="single"/>
        </w:rPr>
        <w:t>（企业名称</w:t>
      </w:r>
      <w:r>
        <w:rPr>
          <w:rFonts w:hint="eastAsia" w:ascii="仿宋_GB2312" w:hAnsi="仿宋_GB2312" w:eastAsia="仿宋_GB2312" w:cs="仿宋_GB2312"/>
          <w:color w:val="auto"/>
          <w:spacing w:val="-59"/>
          <w:sz w:val="24"/>
          <w:highlight w:val="none"/>
          <w:u w:val="single"/>
        </w:rPr>
        <w:t>）</w:t>
      </w:r>
      <w:r>
        <w:rPr>
          <w:rFonts w:hint="eastAsia" w:ascii="仿宋_GB2312" w:hAnsi="仿宋_GB2312" w:eastAsia="仿宋_GB2312" w:cs="仿宋_GB2312"/>
          <w:color w:val="auto"/>
          <w:spacing w:val="9"/>
          <w:sz w:val="24"/>
          <w:highlight w:val="none"/>
          <w:u w:val="single"/>
        </w:rPr>
        <w:t xml:space="preserve"> </w:t>
      </w:r>
      <w:r>
        <w:rPr>
          <w:rFonts w:hint="eastAsia" w:ascii="仿宋_GB2312" w:hAnsi="仿宋_GB2312" w:eastAsia="仿宋_GB2312" w:cs="仿宋_GB2312"/>
          <w:color w:val="auto"/>
          <w:spacing w:val="-59"/>
          <w:sz w:val="24"/>
          <w:highlight w:val="none"/>
        </w:rPr>
        <w:t>，</w:t>
      </w:r>
      <w:r>
        <w:rPr>
          <w:rFonts w:hint="eastAsia" w:ascii="仿宋_GB2312" w:hAnsi="仿宋_GB2312" w:eastAsia="仿宋_GB2312" w:cs="仿宋_GB2312"/>
          <w:color w:val="auto"/>
          <w:spacing w:val="-5"/>
          <w:sz w:val="24"/>
          <w:highlight w:val="none"/>
        </w:rPr>
        <w:t>从业人员</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pacing w:val="1"/>
          <w:sz w:val="24"/>
          <w:highlight w:val="none"/>
        </w:rPr>
        <w:t>__________________人，营业收入为__________________万元，资产总额为__________________万元</w:t>
      </w:r>
      <w:r>
        <w:rPr>
          <w:rFonts w:hint="eastAsia" w:ascii="仿宋_GB2312" w:hAnsi="仿宋_GB2312" w:eastAsia="仿宋_GB2312" w:cs="仿宋_GB2312"/>
          <w:color w:val="auto"/>
          <w:spacing w:val="1"/>
          <w:position w:val="3"/>
          <w:sz w:val="24"/>
          <w:highlight w:val="none"/>
        </w:rPr>
        <w:t>1</w:t>
      </w:r>
      <w:r>
        <w:rPr>
          <w:rFonts w:hint="eastAsia" w:ascii="仿宋_GB2312" w:hAnsi="仿宋_GB2312" w:eastAsia="仿宋_GB2312" w:cs="仿宋_GB2312"/>
          <w:color w:val="auto"/>
          <w:spacing w:val="8"/>
          <w:position w:val="3"/>
          <w:sz w:val="24"/>
          <w:highlight w:val="none"/>
        </w:rPr>
        <w:t xml:space="preserve"> </w:t>
      </w:r>
      <w:r>
        <w:rPr>
          <w:rFonts w:hint="eastAsia" w:ascii="仿宋_GB2312" w:hAnsi="仿宋_GB2312" w:eastAsia="仿宋_GB2312" w:cs="仿宋_GB2312"/>
          <w:color w:val="auto"/>
          <w:spacing w:val="1"/>
          <w:sz w:val="24"/>
          <w:highlight w:val="none"/>
        </w:rPr>
        <w:t>，属于</w:t>
      </w:r>
      <w:r>
        <w:rPr>
          <w:rFonts w:hint="eastAsia" w:ascii="仿宋_GB2312" w:hAnsi="仿宋_GB2312" w:eastAsia="仿宋_GB2312" w:cs="仿宋_GB2312"/>
          <w:color w:val="auto"/>
          <w:spacing w:val="1"/>
          <w:sz w:val="24"/>
          <w:highlight w:val="none"/>
          <w:u w:val="single"/>
        </w:rPr>
        <w:t>（中型企业、小</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pacing w:val="2"/>
          <w:sz w:val="24"/>
          <w:highlight w:val="none"/>
          <w:u w:val="single"/>
        </w:rPr>
        <w:t>型企业、微型企业</w:t>
      </w:r>
      <w:r>
        <w:rPr>
          <w:rFonts w:hint="eastAsia" w:ascii="仿宋_GB2312" w:hAnsi="仿宋_GB2312" w:eastAsia="仿宋_GB2312" w:cs="仿宋_GB2312"/>
          <w:color w:val="auto"/>
          <w:spacing w:val="-49"/>
          <w:sz w:val="24"/>
          <w:highlight w:val="none"/>
          <w:u w:val="single"/>
        </w:rPr>
        <w:t>）</w:t>
      </w:r>
      <w:r>
        <w:rPr>
          <w:rFonts w:hint="eastAsia" w:ascii="仿宋_GB2312" w:hAnsi="仿宋_GB2312" w:eastAsia="仿宋_GB2312" w:cs="仿宋_GB2312"/>
          <w:color w:val="auto"/>
          <w:spacing w:val="7"/>
          <w:sz w:val="24"/>
          <w:highlight w:val="none"/>
          <w:u w:val="single"/>
        </w:rPr>
        <w:t xml:space="preserve"> </w:t>
      </w:r>
      <w:r>
        <w:rPr>
          <w:rFonts w:hint="eastAsia" w:ascii="仿宋_GB2312" w:hAnsi="仿宋_GB2312" w:eastAsia="仿宋_GB2312" w:cs="仿宋_GB2312"/>
          <w:color w:val="auto"/>
          <w:spacing w:val="-49"/>
          <w:sz w:val="24"/>
          <w:highlight w:val="none"/>
        </w:rPr>
        <w:t>；</w:t>
      </w:r>
    </w:p>
    <w:p w14:paraId="3C33E4D2">
      <w:pPr>
        <w:spacing w:before="133"/>
        <w:ind w:firstLine="40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1"/>
          <w:sz w:val="24"/>
          <w:highlight w:val="none"/>
        </w:rPr>
        <w:t>…</w:t>
      </w:r>
      <w:r>
        <w:rPr>
          <w:rFonts w:hint="eastAsia" w:ascii="仿宋_GB2312" w:hAnsi="仿宋_GB2312" w:eastAsia="仿宋_GB2312" w:cs="仿宋_GB2312"/>
          <w:color w:val="auto"/>
          <w:spacing w:val="-37"/>
          <w:sz w:val="24"/>
          <w:highlight w:val="none"/>
        </w:rPr>
        <w:t xml:space="preserve"> </w:t>
      </w:r>
      <w:r>
        <w:rPr>
          <w:rFonts w:hint="eastAsia" w:ascii="仿宋_GB2312" w:hAnsi="仿宋_GB2312" w:eastAsia="仿宋_GB2312" w:cs="仿宋_GB2312"/>
          <w:color w:val="auto"/>
          <w:spacing w:val="-11"/>
          <w:sz w:val="24"/>
          <w:highlight w:val="none"/>
        </w:rPr>
        <w:t>…</w:t>
      </w:r>
    </w:p>
    <w:p w14:paraId="4C44153D">
      <w:pPr>
        <w:spacing w:before="219"/>
        <w:ind w:firstLine="2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以上企业，不属于大企业的分支机构，不存在控股股东为大企业的情形，也不存在与大企业的负责人为同一人的情形。</w:t>
      </w:r>
      <w:r>
        <w:rPr>
          <w:rFonts w:hint="eastAsia" w:ascii="仿宋_GB2312" w:hAnsi="仿宋_GB2312" w:eastAsia="仿宋_GB2312" w:cs="仿宋_GB2312"/>
          <w:color w:val="auto"/>
          <w:spacing w:val="48"/>
          <w:sz w:val="24"/>
          <w:highlight w:val="none"/>
        </w:rPr>
        <w:t xml:space="preserve"> </w:t>
      </w:r>
      <w:r>
        <w:rPr>
          <w:rFonts w:hint="eastAsia" w:ascii="仿宋_GB2312" w:hAnsi="仿宋_GB2312" w:eastAsia="仿宋_GB2312" w:cs="仿宋_GB2312"/>
          <w:color w:val="auto"/>
          <w:spacing w:val="1"/>
          <w:sz w:val="24"/>
          <w:highlight w:val="none"/>
        </w:rPr>
        <w:t>本企业对上述声明内容的真实性负责。如有虚假，将依法承担相应责任。</w:t>
      </w:r>
    </w:p>
    <w:p w14:paraId="30E3018A">
      <w:pPr>
        <w:pStyle w:val="9"/>
        <w:tabs>
          <w:tab w:val="left" w:pos="3992"/>
        </w:tabs>
        <w:spacing w:line="240" w:lineRule="auto"/>
        <w:rPr>
          <w:rFonts w:ascii="仿宋_GB2312" w:hAnsi="仿宋_GB2312" w:eastAsia="仿宋_GB2312" w:cs="仿宋_GB2312"/>
          <w:color w:val="auto"/>
          <w:sz w:val="24"/>
          <w:szCs w:val="24"/>
          <w:highlight w:val="none"/>
        </w:rPr>
      </w:pPr>
    </w:p>
    <w:p w14:paraId="39BE37D6">
      <w:pPr>
        <w:pStyle w:val="9"/>
        <w:tabs>
          <w:tab w:val="left" w:pos="3992"/>
        </w:tabs>
        <w:spacing w:line="240" w:lineRule="auto"/>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企业名称（盖章）：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p>
    <w:p w14:paraId="43F31239">
      <w:pPr>
        <w:pStyle w:val="9"/>
        <w:tabs>
          <w:tab w:val="left" w:pos="3992"/>
        </w:tabs>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 年 月 日</w:t>
      </w:r>
    </w:p>
    <w:p w14:paraId="71874100">
      <w:pPr>
        <w:pStyle w:val="9"/>
        <w:tabs>
          <w:tab w:val="left" w:pos="3992"/>
        </w:tabs>
        <w:spacing w:line="240" w:lineRule="auto"/>
        <w:jc w:val="right"/>
        <w:rPr>
          <w:rFonts w:ascii="仿宋_GB2312" w:hAnsi="仿宋_GB2312" w:eastAsia="仿宋_GB2312" w:cs="仿宋_GB2312"/>
          <w:color w:val="auto"/>
          <w:sz w:val="24"/>
          <w:szCs w:val="24"/>
          <w:highlight w:val="none"/>
        </w:rPr>
      </w:pPr>
    </w:p>
    <w:p w14:paraId="729C590B">
      <w:pPr>
        <w:spacing w:before="2"/>
        <w:ind w:hanging="25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1：从业人员、营业收入、资产总额填报上一年度数据，无上一年度数据的新成立企业可不填报。</w:t>
      </w:r>
    </w:p>
    <w:p w14:paraId="79550103">
      <w:pPr>
        <w:spacing w:before="2"/>
        <w:ind w:hanging="25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2：投标人应当自行核实是否属于小微企业，并认真填写声明函，若有虚假将追究其责任。</w:t>
      </w:r>
    </w:p>
    <w:p w14:paraId="73E5CD50">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14:paraId="507CB079">
      <w:pPr>
        <w:jc w:val="center"/>
        <w:rPr>
          <w:rFonts w:ascii="仿宋_GB2312" w:hAnsi="宋体" w:eastAsia="仿宋_GB2312"/>
          <w:b/>
          <w:bCs/>
          <w:color w:val="auto"/>
          <w:kern w:val="32"/>
          <w:sz w:val="32"/>
          <w:szCs w:val="32"/>
          <w:highlight w:val="none"/>
        </w:rPr>
      </w:pPr>
      <w:r>
        <w:rPr>
          <w:rFonts w:hint="eastAsia" w:ascii="仿宋_GB2312" w:hAnsi="宋体" w:eastAsia="仿宋_GB2312"/>
          <w:b/>
          <w:bCs/>
          <w:color w:val="auto"/>
          <w:kern w:val="32"/>
          <w:sz w:val="32"/>
          <w:szCs w:val="32"/>
          <w:highlight w:val="none"/>
        </w:rPr>
        <w:t>（六）残疾人福利性单位声明函</w:t>
      </w:r>
    </w:p>
    <w:p w14:paraId="5AB3B95B">
      <w:pPr>
        <w:spacing w:before="176"/>
        <w:ind w:firstLine="384"/>
        <w:rPr>
          <w:rFonts w:ascii="仿宋_GB2312" w:hAnsi="仿宋_GB2312" w:eastAsia="仿宋_GB2312" w:cs="仿宋_GB2312"/>
          <w:color w:val="auto"/>
          <w:spacing w:val="-1"/>
          <w:sz w:val="24"/>
          <w:highlight w:val="none"/>
        </w:rPr>
      </w:pPr>
    </w:p>
    <w:p w14:paraId="4840E6FA">
      <w:pPr>
        <w:spacing w:before="176"/>
        <w:ind w:firstLine="384"/>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本单位郑重声明，根据《财政部</w:t>
      </w:r>
      <w:r>
        <w:rPr>
          <w:rFonts w:hint="eastAsia" w:ascii="仿宋_GB2312" w:hAnsi="仿宋_GB2312" w:eastAsia="仿宋_GB2312" w:cs="仿宋_GB2312"/>
          <w:color w:val="auto"/>
          <w:spacing w:val="-2"/>
          <w:sz w:val="24"/>
          <w:highlight w:val="none"/>
        </w:rPr>
        <w:t xml:space="preserve"> </w:t>
      </w:r>
      <w:r>
        <w:rPr>
          <w:rFonts w:hint="eastAsia" w:ascii="仿宋_GB2312" w:hAnsi="仿宋_GB2312" w:eastAsia="仿宋_GB2312" w:cs="仿宋_GB2312"/>
          <w:color w:val="auto"/>
          <w:spacing w:val="-1"/>
          <w:sz w:val="24"/>
          <w:highlight w:val="none"/>
        </w:rPr>
        <w:t>民政部</w:t>
      </w:r>
      <w:r>
        <w:rPr>
          <w:rFonts w:hint="eastAsia" w:ascii="仿宋_GB2312" w:hAnsi="仿宋_GB2312" w:eastAsia="仿宋_GB2312" w:cs="仿宋_GB2312"/>
          <w:color w:val="auto"/>
          <w:spacing w:val="-8"/>
          <w:sz w:val="24"/>
          <w:highlight w:val="none"/>
        </w:rPr>
        <w:t xml:space="preserve"> </w:t>
      </w:r>
      <w:r>
        <w:rPr>
          <w:rFonts w:hint="eastAsia" w:ascii="仿宋_GB2312" w:hAnsi="仿宋_GB2312" w:eastAsia="仿宋_GB2312" w:cs="仿宋_GB2312"/>
          <w:color w:val="auto"/>
          <w:spacing w:val="-1"/>
          <w:sz w:val="24"/>
          <w:highlight w:val="none"/>
        </w:rPr>
        <w:t>中国残疾人联合会关于促进残疾人就业政府采购政策的通知》</w:t>
      </w:r>
      <w:r>
        <w:rPr>
          <w:rFonts w:hint="eastAsia" w:ascii="仿宋_GB2312" w:hAnsi="仿宋_GB2312" w:eastAsia="仿宋_GB2312" w:cs="仿宋_GB2312"/>
          <w:color w:val="auto"/>
          <w:spacing w:val="-11"/>
          <w:sz w:val="24"/>
          <w:highlight w:val="none"/>
        </w:rPr>
        <w:t xml:space="preserve"> </w:t>
      </w:r>
      <w:r>
        <w:rPr>
          <w:rFonts w:hint="eastAsia" w:ascii="仿宋_GB2312" w:hAnsi="仿宋_GB2312" w:eastAsia="仿宋_GB2312" w:cs="仿宋_GB2312"/>
          <w:color w:val="auto"/>
          <w:spacing w:val="-1"/>
          <w:sz w:val="24"/>
          <w:highlight w:val="none"/>
        </w:rPr>
        <w:t>（财库〔2017〕</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pacing w:val="-1"/>
          <w:sz w:val="24"/>
          <w:highlight w:val="none"/>
        </w:rPr>
        <w:t>141号）</w:t>
      </w:r>
      <w:r>
        <w:rPr>
          <w:rFonts w:hint="eastAsia" w:ascii="仿宋_GB2312" w:hAnsi="仿宋_GB2312" w:eastAsia="仿宋_GB2312" w:cs="仿宋_GB2312"/>
          <w:color w:val="auto"/>
          <w:spacing w:val="65"/>
          <w:sz w:val="24"/>
          <w:highlight w:val="none"/>
        </w:rPr>
        <w:t xml:space="preserve"> </w:t>
      </w:r>
      <w:r>
        <w:rPr>
          <w:rFonts w:hint="eastAsia" w:ascii="仿宋_GB2312" w:hAnsi="仿宋_GB2312" w:eastAsia="仿宋_GB2312" w:cs="仿宋_GB2312"/>
          <w:color w:val="auto"/>
          <w:spacing w:val="-1"/>
          <w:sz w:val="24"/>
          <w:highlight w:val="none"/>
        </w:rPr>
        <w:t>的规定，本单位为符合条件的残疾人福利性单位，且本单位参加______单位的______项目采购活动提供本单位制造的</w:t>
      </w:r>
      <w:r>
        <w:rPr>
          <w:rFonts w:hint="eastAsia" w:ascii="仿宋_GB2312" w:hAnsi="仿宋_GB2312" w:eastAsia="仿宋_GB2312" w:cs="仿宋_GB2312"/>
          <w:color w:val="auto"/>
          <w:sz w:val="24"/>
          <w:highlight w:val="none"/>
        </w:rPr>
        <w:t xml:space="preserve"> 货物（由本单位承担工程/提供服务</w:t>
      </w:r>
      <w:r>
        <w:rPr>
          <w:rFonts w:hint="eastAsia" w:ascii="仿宋_GB2312" w:hAnsi="仿宋_GB2312" w:eastAsia="仿宋_GB2312" w:cs="仿宋_GB2312"/>
          <w:color w:val="auto"/>
          <w:spacing w:val="-34"/>
          <w:sz w:val="24"/>
          <w:highlight w:val="none"/>
        </w:rPr>
        <w:t>）</w:t>
      </w:r>
      <w:r>
        <w:rPr>
          <w:rFonts w:hint="eastAsia" w:ascii="仿宋_GB2312" w:hAnsi="仿宋_GB2312" w:eastAsia="仿宋_GB2312" w:cs="仿宋_GB2312"/>
          <w:color w:val="auto"/>
          <w:spacing w:val="34"/>
          <w:sz w:val="24"/>
          <w:highlight w:val="none"/>
        </w:rPr>
        <w:t xml:space="preserve"> </w:t>
      </w:r>
      <w:r>
        <w:rPr>
          <w:rFonts w:hint="eastAsia" w:ascii="仿宋_GB2312" w:hAnsi="仿宋_GB2312" w:eastAsia="仿宋_GB2312" w:cs="仿宋_GB2312"/>
          <w:color w:val="auto"/>
          <w:spacing w:val="-34"/>
          <w:sz w:val="24"/>
          <w:highlight w:val="none"/>
        </w:rPr>
        <w:t>，</w:t>
      </w:r>
      <w:r>
        <w:rPr>
          <w:rFonts w:hint="eastAsia" w:ascii="仿宋_GB2312" w:hAnsi="仿宋_GB2312" w:eastAsia="仿宋_GB2312" w:cs="仿宋_GB2312"/>
          <w:color w:val="auto"/>
          <w:sz w:val="24"/>
          <w:highlight w:val="none"/>
        </w:rPr>
        <w:t xml:space="preserve">或者提供其他残疾人福利性单位制造的货物（不包括使用非残疾人福利性单位注册商  </w:t>
      </w:r>
      <w:r>
        <w:rPr>
          <w:rFonts w:hint="eastAsia" w:ascii="仿宋_GB2312" w:hAnsi="仿宋_GB2312" w:eastAsia="仿宋_GB2312" w:cs="仿宋_GB2312"/>
          <w:color w:val="auto"/>
          <w:spacing w:val="-17"/>
          <w:sz w:val="24"/>
          <w:highlight w:val="none"/>
        </w:rPr>
        <w:t>标的货物）</w:t>
      </w:r>
      <w:r>
        <w:rPr>
          <w:rFonts w:hint="eastAsia" w:ascii="仿宋_GB2312" w:hAnsi="仿宋_GB2312" w:eastAsia="仿宋_GB2312" w:cs="仿宋_GB2312"/>
          <w:color w:val="auto"/>
          <w:spacing w:val="9"/>
          <w:sz w:val="24"/>
          <w:highlight w:val="none"/>
        </w:rPr>
        <w:t xml:space="preserve"> </w:t>
      </w:r>
      <w:r>
        <w:rPr>
          <w:rFonts w:hint="eastAsia" w:ascii="仿宋_GB2312" w:hAnsi="仿宋_GB2312" w:eastAsia="仿宋_GB2312" w:cs="仿宋_GB2312"/>
          <w:color w:val="auto"/>
          <w:spacing w:val="-17"/>
          <w:sz w:val="24"/>
          <w:highlight w:val="none"/>
        </w:rPr>
        <w:t>。</w:t>
      </w:r>
    </w:p>
    <w:p w14:paraId="1D09FF28">
      <w:pPr>
        <w:spacing w:before="24"/>
        <w:ind w:firstLine="390"/>
        <w:rPr>
          <w:rFonts w:ascii="仿宋_GB2312" w:hAnsi="仿宋_GB2312" w:eastAsia="仿宋_GB2312" w:cs="仿宋_GB2312"/>
          <w:color w:val="auto"/>
          <w:spacing w:val="1"/>
          <w:sz w:val="24"/>
          <w:highlight w:val="none"/>
        </w:rPr>
      </w:pPr>
      <w:r>
        <w:rPr>
          <w:rFonts w:hint="eastAsia" w:ascii="仿宋_GB2312" w:hAnsi="仿宋_GB2312" w:eastAsia="仿宋_GB2312" w:cs="仿宋_GB2312"/>
          <w:color w:val="auto"/>
          <w:spacing w:val="1"/>
          <w:sz w:val="24"/>
          <w:highlight w:val="none"/>
        </w:rPr>
        <w:t>本单位对上述声明的真实性负责。如有虚假，将依法承担相应责任。</w:t>
      </w:r>
    </w:p>
    <w:p w14:paraId="0B5531AC">
      <w:pPr>
        <w:spacing w:before="24"/>
        <w:ind w:firstLine="390"/>
        <w:rPr>
          <w:rFonts w:ascii="仿宋_GB2312" w:hAnsi="仿宋_GB2312" w:eastAsia="仿宋_GB2312" w:cs="仿宋_GB2312"/>
          <w:color w:val="auto"/>
          <w:sz w:val="24"/>
          <w:highlight w:val="none"/>
        </w:rPr>
      </w:pPr>
    </w:p>
    <w:p w14:paraId="2E9E37E3">
      <w:pPr>
        <w:spacing w:before="160"/>
        <w:rPr>
          <w:rFonts w:ascii="仿宋_GB2312" w:hAnsi="仿宋_GB2312" w:eastAsia="仿宋_GB2312" w:cs="仿宋_GB2312"/>
          <w:color w:val="auto"/>
          <w:spacing w:val="2"/>
          <w:sz w:val="24"/>
          <w:highlight w:val="none"/>
        </w:rPr>
      </w:pPr>
    </w:p>
    <w:p w14:paraId="07408A89">
      <w:pPr>
        <w:spacing w:before="160"/>
        <w:rPr>
          <w:rFonts w:ascii="仿宋_GB2312" w:hAnsi="仿宋_GB2312" w:eastAsia="仿宋_GB2312" w:cs="仿宋_GB2312"/>
          <w:color w:val="auto"/>
          <w:spacing w:val="2"/>
          <w:sz w:val="24"/>
          <w:highlight w:val="none"/>
        </w:rPr>
      </w:pPr>
    </w:p>
    <w:p w14:paraId="5AD4185F">
      <w:pPr>
        <w:spacing w:before="160"/>
        <w:rPr>
          <w:rFonts w:ascii="仿宋_GB2312" w:hAnsi="仿宋_GB2312" w:eastAsia="仿宋_GB2312" w:cs="仿宋_GB2312"/>
          <w:color w:val="auto"/>
          <w:w w:val="101"/>
          <w:sz w:val="24"/>
          <w:highlight w:val="none"/>
        </w:rPr>
      </w:pPr>
      <w:r>
        <w:rPr>
          <w:rFonts w:hint="eastAsia" w:ascii="仿宋_GB2312" w:hAnsi="仿宋_GB2312" w:eastAsia="仿宋_GB2312" w:cs="仿宋_GB2312"/>
          <w:color w:val="auto"/>
          <w:spacing w:val="2"/>
          <w:sz w:val="24"/>
          <w:highlight w:val="none"/>
        </w:rPr>
        <w:t>单位名称（盖章</w:t>
      </w:r>
      <w:r>
        <w:rPr>
          <w:rFonts w:hint="eastAsia" w:ascii="仿宋_GB2312" w:hAnsi="仿宋_GB2312" w:eastAsia="仿宋_GB2312" w:cs="仿宋_GB2312"/>
          <w:color w:val="auto"/>
          <w:spacing w:val="-63"/>
          <w:sz w:val="24"/>
          <w:highlight w:val="none"/>
        </w:rPr>
        <w:t>）</w:t>
      </w:r>
      <w:r>
        <w:rPr>
          <w:rFonts w:hint="eastAsia" w:ascii="仿宋_GB2312" w:hAnsi="仿宋_GB2312" w:eastAsia="仿宋_GB2312" w:cs="仿宋_GB2312"/>
          <w:color w:val="auto"/>
          <w:spacing w:val="10"/>
          <w:sz w:val="24"/>
          <w:highlight w:val="none"/>
        </w:rPr>
        <w:t xml:space="preserve"> </w:t>
      </w:r>
      <w:r>
        <w:rPr>
          <w:rFonts w:hint="eastAsia" w:ascii="仿宋_GB2312" w:hAnsi="仿宋_GB2312" w:eastAsia="仿宋_GB2312" w:cs="仿宋_GB2312"/>
          <w:color w:val="auto"/>
          <w:spacing w:val="-63"/>
          <w:sz w:val="24"/>
          <w:highlight w:val="none"/>
        </w:rPr>
        <w:t>：</w:t>
      </w:r>
      <w:r>
        <w:rPr>
          <w:rFonts w:hint="eastAsia" w:ascii="仿宋_GB2312" w:hAnsi="仿宋_GB2312" w:eastAsia="仿宋_GB2312" w:cs="仿宋_GB2312"/>
          <w:color w:val="auto"/>
          <w:spacing w:val="2"/>
          <w:sz w:val="24"/>
          <w:highlight w:val="none"/>
        </w:rPr>
        <w:t>__________________</w:t>
      </w:r>
      <w:r>
        <w:rPr>
          <w:rFonts w:hint="eastAsia" w:ascii="仿宋_GB2312" w:hAnsi="仿宋_GB2312" w:eastAsia="仿宋_GB2312" w:cs="仿宋_GB2312"/>
          <w:color w:val="auto"/>
          <w:w w:val="101"/>
          <w:sz w:val="24"/>
          <w:highlight w:val="none"/>
        </w:rPr>
        <w:t xml:space="preserve"> </w:t>
      </w:r>
    </w:p>
    <w:p w14:paraId="6887018D">
      <w:pPr>
        <w:spacing w:before="16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7"/>
          <w:w w:val="91"/>
          <w:sz w:val="24"/>
          <w:highlight w:val="none"/>
        </w:rPr>
        <w:t>日期：</w:t>
      </w:r>
      <w:r>
        <w:rPr>
          <w:rFonts w:hint="eastAsia" w:ascii="仿宋_GB2312" w:hAnsi="仿宋_GB2312" w:eastAsia="仿宋_GB2312" w:cs="仿宋_GB2312"/>
          <w:color w:val="auto"/>
          <w:spacing w:val="84"/>
          <w:sz w:val="24"/>
          <w:highlight w:val="none"/>
        </w:rPr>
        <w:t xml:space="preserve"> </w:t>
      </w:r>
      <w:r>
        <w:rPr>
          <w:rFonts w:hint="eastAsia" w:ascii="仿宋_GB2312" w:hAnsi="仿宋_GB2312" w:eastAsia="仿宋_GB2312" w:cs="仿宋_GB2312"/>
          <w:color w:val="auto"/>
          <w:spacing w:val="-17"/>
          <w:w w:val="91"/>
          <w:sz w:val="24"/>
          <w:highlight w:val="none"/>
        </w:rPr>
        <w:t>年</w:t>
      </w:r>
      <w:r>
        <w:rPr>
          <w:rFonts w:hint="eastAsia" w:ascii="仿宋_GB2312" w:hAnsi="仿宋_GB2312" w:eastAsia="仿宋_GB2312" w:cs="仿宋_GB2312"/>
          <w:color w:val="auto"/>
          <w:spacing w:val="-22"/>
          <w:sz w:val="24"/>
          <w:highlight w:val="none"/>
        </w:rPr>
        <w:t xml:space="preserve"> </w:t>
      </w:r>
      <w:r>
        <w:rPr>
          <w:rFonts w:hint="eastAsia" w:ascii="仿宋_GB2312" w:hAnsi="仿宋_GB2312" w:eastAsia="仿宋_GB2312" w:cs="仿宋_GB2312"/>
          <w:color w:val="auto"/>
          <w:spacing w:val="-17"/>
          <w:w w:val="91"/>
          <w:sz w:val="24"/>
          <w:highlight w:val="none"/>
        </w:rPr>
        <w:t>月</w:t>
      </w:r>
      <w:r>
        <w:rPr>
          <w:rFonts w:hint="eastAsia" w:ascii="仿宋_GB2312" w:hAnsi="仿宋_GB2312" w:eastAsia="仿宋_GB2312" w:cs="仿宋_GB2312"/>
          <w:color w:val="auto"/>
          <w:spacing w:val="7"/>
          <w:sz w:val="24"/>
          <w:highlight w:val="none"/>
        </w:rPr>
        <w:t xml:space="preserve"> </w:t>
      </w:r>
      <w:r>
        <w:rPr>
          <w:rFonts w:hint="eastAsia" w:ascii="仿宋_GB2312" w:hAnsi="仿宋_GB2312" w:eastAsia="仿宋_GB2312" w:cs="仿宋_GB2312"/>
          <w:color w:val="auto"/>
          <w:spacing w:val="-17"/>
          <w:w w:val="91"/>
          <w:sz w:val="24"/>
          <w:highlight w:val="none"/>
        </w:rPr>
        <w:t>日</w:t>
      </w:r>
    </w:p>
    <w:p w14:paraId="7E0EA0A3">
      <w:pPr>
        <w:ind w:firstLine="38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注：本函未填写或未勾选视作未做声明。</w:t>
      </w:r>
    </w:p>
    <w:p w14:paraId="120FDCB1">
      <w:pPr>
        <w:autoSpaceDE w:val="0"/>
        <w:autoSpaceDN w:val="0"/>
        <w:rPr>
          <w:rFonts w:ascii="仿宋_GB2312" w:hAnsi="宋体" w:eastAsia="仿宋_GB2312"/>
          <w:color w:val="auto"/>
          <w:sz w:val="24"/>
          <w:highlight w:val="none"/>
        </w:rPr>
      </w:pPr>
      <w:r>
        <w:rPr>
          <w:rFonts w:hint="eastAsia" w:ascii="仿宋_GB2312" w:hAnsi="仿宋_GB2312" w:eastAsia="仿宋_GB2312" w:cs="仿宋_GB2312"/>
          <w:color w:val="auto"/>
          <w:sz w:val="24"/>
          <w:highlight w:val="none"/>
        </w:rPr>
        <w:br w:type="page"/>
      </w:r>
    </w:p>
    <w:p w14:paraId="01399012">
      <w:pPr>
        <w:autoSpaceDE w:val="0"/>
        <w:autoSpaceDN w:val="0"/>
        <w:spacing w:line="360" w:lineRule="auto"/>
        <w:rPr>
          <w:rFonts w:hint="eastAsia" w:ascii="仿宋_GB2312" w:hAnsi="宋体" w:eastAsia="仿宋_GB2312"/>
          <w:color w:val="auto"/>
          <w:sz w:val="24"/>
        </w:rPr>
      </w:pPr>
    </w:p>
    <w:p w14:paraId="6FA647D3">
      <w:pPr>
        <w:autoSpaceDE w:val="0"/>
        <w:autoSpaceDN w:val="0"/>
        <w:spacing w:line="360" w:lineRule="auto"/>
        <w:rPr>
          <w:rFonts w:ascii="仿宋_GB2312" w:hAnsi="宋体" w:eastAsia="仿宋_GB2312"/>
          <w:color w:val="auto"/>
          <w:sz w:val="24"/>
        </w:rPr>
      </w:pPr>
      <w:r>
        <w:rPr>
          <w:rFonts w:hint="eastAsia" w:ascii="仿宋_GB2312" w:hAnsi="宋体" w:eastAsia="仿宋_GB2312"/>
          <w:color w:val="auto"/>
          <w:sz w:val="24"/>
        </w:rPr>
        <w:t>附件1：技术偏离表</w:t>
      </w:r>
    </w:p>
    <w:p w14:paraId="5C70C873">
      <w:pPr>
        <w:pStyle w:val="58"/>
        <w:spacing w:before="156" w:beforeLines="50" w:after="156" w:afterLines="50" w:line="240" w:lineRule="auto"/>
        <w:jc w:val="center"/>
        <w:rPr>
          <w:rFonts w:ascii="Times New Roman" w:hAnsi="Times New Roman" w:eastAsia="宋体"/>
          <w:b/>
          <w:color w:val="auto"/>
          <w:sz w:val="32"/>
          <w:szCs w:val="32"/>
        </w:rPr>
      </w:pPr>
      <w:r>
        <w:rPr>
          <w:rFonts w:hint="eastAsia" w:ascii="Times New Roman" w:hAnsi="Times New Roman" w:eastAsia="宋体"/>
          <w:b/>
          <w:color w:val="auto"/>
          <w:sz w:val="32"/>
          <w:szCs w:val="32"/>
        </w:rPr>
        <w:t>1、一般</w:t>
      </w:r>
      <w:r>
        <w:rPr>
          <w:rFonts w:ascii="Times New Roman" w:hAnsi="Times New Roman" w:eastAsia="宋体"/>
          <w:b/>
          <w:color w:val="auto"/>
          <w:sz w:val="32"/>
          <w:szCs w:val="32"/>
        </w:rPr>
        <w:t>技术条款偏离表</w:t>
      </w:r>
    </w:p>
    <w:p w14:paraId="6A2BAD71">
      <w:pPr>
        <w:tabs>
          <w:tab w:val="left" w:pos="8280"/>
        </w:tabs>
        <w:spacing w:line="360" w:lineRule="auto"/>
        <w:jc w:val="left"/>
        <w:rPr>
          <w:color w:val="auto"/>
          <w:sz w:val="24"/>
        </w:rPr>
      </w:pPr>
      <w:r>
        <w:rPr>
          <w:color w:val="auto"/>
          <w:sz w:val="24"/>
        </w:rPr>
        <w:t>投标人名称：</w:t>
      </w:r>
      <w:r>
        <w:rPr>
          <w:color w:val="auto"/>
          <w:sz w:val="24"/>
          <w:u w:val="single"/>
        </w:rPr>
        <w:t>　　　　　　　　　　</w:t>
      </w:r>
      <w:r>
        <w:rPr>
          <w:color w:val="auto"/>
          <w:sz w:val="24"/>
        </w:rPr>
        <w:t>　　</w:t>
      </w:r>
    </w:p>
    <w:p w14:paraId="61248343">
      <w:pPr>
        <w:tabs>
          <w:tab w:val="left" w:pos="8280"/>
        </w:tabs>
        <w:spacing w:line="360" w:lineRule="auto"/>
        <w:jc w:val="left"/>
        <w:rPr>
          <w:rFonts w:ascii="仿宋_GB2312" w:eastAsia="仿宋_GB2312"/>
          <w:b/>
          <w:color w:val="auto"/>
          <w:sz w:val="24"/>
          <w:lang w:val="zh-CN"/>
        </w:rPr>
      </w:pPr>
      <w:r>
        <w:rPr>
          <w:rFonts w:hint="eastAsia"/>
          <w:color w:val="auto"/>
          <w:sz w:val="24"/>
        </w:rPr>
        <w:t>项目名称</w:t>
      </w:r>
      <w:r>
        <w:rPr>
          <w:color w:val="auto"/>
          <w:sz w:val="24"/>
        </w:rPr>
        <w:t>：</w:t>
      </w:r>
      <w:r>
        <w:rPr>
          <w:rFonts w:hint="eastAsia" w:ascii="仿宋_GB2312" w:eastAsia="仿宋_GB2312"/>
          <w:b/>
          <w:color w:val="auto"/>
          <w:sz w:val="24"/>
          <w:highlight w:val="none"/>
          <w:lang w:val="zh-CN"/>
        </w:rPr>
        <w:t>东莞市社会保险基金管理中心XXXXXXXXXXXX项目（</w:t>
      </w:r>
      <w:r>
        <w:rPr>
          <w:rFonts w:hint="eastAsia" w:ascii="仿宋_GB2312" w:eastAsia="仿宋_GB2312"/>
          <w:b/>
          <w:color w:val="auto"/>
          <w:sz w:val="24"/>
          <w:highlight w:val="none"/>
          <w:lang w:val="en-US" w:eastAsia="zh-CN"/>
        </w:rPr>
        <w:t>二次</w:t>
      </w:r>
      <w:r>
        <w:rPr>
          <w:rFonts w:hint="eastAsia" w:ascii="仿宋_GB2312" w:eastAsia="仿宋_GB2312"/>
          <w:b/>
          <w:color w:val="auto"/>
          <w:sz w:val="24"/>
          <w:highlight w:val="none"/>
          <w:lang w:val="zh-CN"/>
        </w:rPr>
        <w:t>）</w:t>
      </w:r>
    </w:p>
    <w:p w14:paraId="3230C900">
      <w:pPr>
        <w:spacing w:after="156" w:afterLines="50"/>
        <w:rPr>
          <w:color w:val="auto"/>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84"/>
        <w:gridCol w:w="1356"/>
        <w:gridCol w:w="2136"/>
        <w:gridCol w:w="1484"/>
        <w:gridCol w:w="1530"/>
      </w:tblGrid>
      <w:tr w14:paraId="25F5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28" w:type="dxa"/>
            <w:vAlign w:val="center"/>
          </w:tcPr>
          <w:p w14:paraId="41BEF255">
            <w:pPr>
              <w:jc w:val="center"/>
              <w:rPr>
                <w:b/>
                <w:color w:val="auto"/>
                <w:sz w:val="24"/>
              </w:rPr>
            </w:pPr>
            <w:r>
              <w:rPr>
                <w:b/>
                <w:color w:val="auto"/>
                <w:sz w:val="24"/>
              </w:rPr>
              <w:t>序号</w:t>
            </w:r>
          </w:p>
        </w:tc>
        <w:tc>
          <w:tcPr>
            <w:tcW w:w="1884" w:type="dxa"/>
            <w:vAlign w:val="center"/>
          </w:tcPr>
          <w:p w14:paraId="5F29DF40">
            <w:pPr>
              <w:jc w:val="center"/>
              <w:rPr>
                <w:b/>
                <w:color w:val="auto"/>
                <w:sz w:val="24"/>
              </w:rPr>
            </w:pPr>
            <w:r>
              <w:rPr>
                <w:b/>
                <w:color w:val="auto"/>
                <w:sz w:val="24"/>
              </w:rPr>
              <w:t>条款名称</w:t>
            </w:r>
          </w:p>
        </w:tc>
        <w:tc>
          <w:tcPr>
            <w:tcW w:w="1356" w:type="dxa"/>
            <w:vAlign w:val="center"/>
          </w:tcPr>
          <w:p w14:paraId="2321E671">
            <w:pPr>
              <w:jc w:val="center"/>
              <w:rPr>
                <w:b/>
                <w:color w:val="auto"/>
                <w:sz w:val="24"/>
              </w:rPr>
            </w:pPr>
            <w:r>
              <w:rPr>
                <w:b/>
                <w:color w:val="auto"/>
                <w:sz w:val="24"/>
              </w:rPr>
              <w:t>招标要求</w:t>
            </w:r>
          </w:p>
        </w:tc>
        <w:tc>
          <w:tcPr>
            <w:tcW w:w="2136" w:type="dxa"/>
            <w:vAlign w:val="center"/>
          </w:tcPr>
          <w:p w14:paraId="0AB7938B">
            <w:pPr>
              <w:jc w:val="center"/>
              <w:rPr>
                <w:b/>
                <w:color w:val="auto"/>
                <w:sz w:val="24"/>
              </w:rPr>
            </w:pPr>
            <w:r>
              <w:rPr>
                <w:b/>
                <w:color w:val="auto"/>
                <w:sz w:val="24"/>
              </w:rPr>
              <w:t>投标实际响应</w:t>
            </w:r>
          </w:p>
        </w:tc>
        <w:tc>
          <w:tcPr>
            <w:tcW w:w="1484" w:type="dxa"/>
            <w:vAlign w:val="center"/>
          </w:tcPr>
          <w:p w14:paraId="3151A25F">
            <w:pPr>
              <w:jc w:val="center"/>
              <w:rPr>
                <w:b/>
                <w:color w:val="auto"/>
                <w:sz w:val="24"/>
              </w:rPr>
            </w:pPr>
            <w:r>
              <w:rPr>
                <w:b/>
                <w:color w:val="auto"/>
                <w:sz w:val="24"/>
              </w:rPr>
              <w:t>是否偏离</w:t>
            </w:r>
          </w:p>
        </w:tc>
        <w:tc>
          <w:tcPr>
            <w:tcW w:w="1530" w:type="dxa"/>
            <w:vAlign w:val="center"/>
          </w:tcPr>
          <w:p w14:paraId="4E094B8A">
            <w:pPr>
              <w:jc w:val="center"/>
              <w:rPr>
                <w:b/>
                <w:color w:val="auto"/>
                <w:sz w:val="24"/>
              </w:rPr>
            </w:pPr>
            <w:r>
              <w:rPr>
                <w:b/>
                <w:color w:val="auto"/>
                <w:sz w:val="24"/>
              </w:rPr>
              <w:t>说明</w:t>
            </w:r>
          </w:p>
        </w:tc>
      </w:tr>
      <w:tr w14:paraId="73C3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2AEAED9">
            <w:pPr>
              <w:numPr>
                <w:ilvl w:val="0"/>
                <w:numId w:val="3"/>
              </w:numPr>
              <w:jc w:val="center"/>
              <w:rPr>
                <w:color w:val="auto"/>
                <w:sz w:val="24"/>
              </w:rPr>
            </w:pPr>
          </w:p>
        </w:tc>
        <w:tc>
          <w:tcPr>
            <w:tcW w:w="1884" w:type="dxa"/>
            <w:vAlign w:val="center"/>
          </w:tcPr>
          <w:p w14:paraId="5C5819FB">
            <w:pPr>
              <w:jc w:val="center"/>
              <w:rPr>
                <w:color w:val="auto"/>
                <w:sz w:val="24"/>
              </w:rPr>
            </w:pPr>
          </w:p>
        </w:tc>
        <w:tc>
          <w:tcPr>
            <w:tcW w:w="1356" w:type="dxa"/>
            <w:vAlign w:val="center"/>
          </w:tcPr>
          <w:p w14:paraId="03C74DEF">
            <w:pPr>
              <w:jc w:val="center"/>
              <w:rPr>
                <w:color w:val="auto"/>
                <w:sz w:val="24"/>
              </w:rPr>
            </w:pPr>
          </w:p>
          <w:p w14:paraId="35AD3BDB">
            <w:pPr>
              <w:jc w:val="center"/>
              <w:rPr>
                <w:color w:val="auto"/>
                <w:sz w:val="24"/>
              </w:rPr>
            </w:pPr>
          </w:p>
        </w:tc>
        <w:tc>
          <w:tcPr>
            <w:tcW w:w="2136" w:type="dxa"/>
            <w:vAlign w:val="center"/>
          </w:tcPr>
          <w:p w14:paraId="76C25BBA">
            <w:pPr>
              <w:jc w:val="center"/>
              <w:rPr>
                <w:color w:val="auto"/>
                <w:sz w:val="24"/>
              </w:rPr>
            </w:pPr>
          </w:p>
        </w:tc>
        <w:tc>
          <w:tcPr>
            <w:tcW w:w="1484" w:type="dxa"/>
            <w:vAlign w:val="center"/>
          </w:tcPr>
          <w:p w14:paraId="14D6C765">
            <w:pPr>
              <w:jc w:val="center"/>
              <w:rPr>
                <w:color w:val="auto"/>
                <w:sz w:val="24"/>
              </w:rPr>
            </w:pPr>
          </w:p>
        </w:tc>
        <w:tc>
          <w:tcPr>
            <w:tcW w:w="1530" w:type="dxa"/>
            <w:vAlign w:val="center"/>
          </w:tcPr>
          <w:p w14:paraId="4EA75BC7">
            <w:pPr>
              <w:jc w:val="center"/>
              <w:rPr>
                <w:color w:val="auto"/>
                <w:sz w:val="24"/>
              </w:rPr>
            </w:pPr>
          </w:p>
        </w:tc>
      </w:tr>
      <w:tr w14:paraId="129A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6256612">
            <w:pPr>
              <w:numPr>
                <w:ilvl w:val="0"/>
                <w:numId w:val="3"/>
              </w:numPr>
              <w:jc w:val="center"/>
              <w:rPr>
                <w:color w:val="auto"/>
                <w:sz w:val="22"/>
                <w:szCs w:val="22"/>
              </w:rPr>
            </w:pPr>
          </w:p>
        </w:tc>
        <w:tc>
          <w:tcPr>
            <w:tcW w:w="1884" w:type="dxa"/>
            <w:vAlign w:val="center"/>
          </w:tcPr>
          <w:p w14:paraId="7017516D">
            <w:pPr>
              <w:jc w:val="center"/>
              <w:rPr>
                <w:color w:val="auto"/>
                <w:sz w:val="22"/>
                <w:szCs w:val="22"/>
              </w:rPr>
            </w:pPr>
          </w:p>
        </w:tc>
        <w:tc>
          <w:tcPr>
            <w:tcW w:w="1356" w:type="dxa"/>
            <w:vAlign w:val="center"/>
          </w:tcPr>
          <w:p w14:paraId="7AD166F7">
            <w:pPr>
              <w:jc w:val="center"/>
              <w:rPr>
                <w:color w:val="auto"/>
                <w:sz w:val="22"/>
                <w:szCs w:val="22"/>
              </w:rPr>
            </w:pPr>
          </w:p>
          <w:p w14:paraId="4B24C71B">
            <w:pPr>
              <w:jc w:val="center"/>
              <w:rPr>
                <w:color w:val="auto"/>
                <w:sz w:val="22"/>
                <w:szCs w:val="22"/>
              </w:rPr>
            </w:pPr>
          </w:p>
        </w:tc>
        <w:tc>
          <w:tcPr>
            <w:tcW w:w="2136" w:type="dxa"/>
            <w:vAlign w:val="center"/>
          </w:tcPr>
          <w:p w14:paraId="474454CD">
            <w:pPr>
              <w:jc w:val="center"/>
              <w:rPr>
                <w:color w:val="auto"/>
                <w:sz w:val="22"/>
                <w:szCs w:val="22"/>
              </w:rPr>
            </w:pPr>
          </w:p>
        </w:tc>
        <w:tc>
          <w:tcPr>
            <w:tcW w:w="1484" w:type="dxa"/>
            <w:vAlign w:val="center"/>
          </w:tcPr>
          <w:p w14:paraId="154CF656">
            <w:pPr>
              <w:jc w:val="center"/>
              <w:rPr>
                <w:color w:val="auto"/>
                <w:sz w:val="22"/>
                <w:szCs w:val="22"/>
              </w:rPr>
            </w:pPr>
          </w:p>
        </w:tc>
        <w:tc>
          <w:tcPr>
            <w:tcW w:w="1530" w:type="dxa"/>
            <w:vAlign w:val="center"/>
          </w:tcPr>
          <w:p w14:paraId="2E9448CC">
            <w:pPr>
              <w:jc w:val="center"/>
              <w:rPr>
                <w:color w:val="auto"/>
                <w:sz w:val="22"/>
                <w:szCs w:val="22"/>
              </w:rPr>
            </w:pPr>
          </w:p>
        </w:tc>
      </w:tr>
      <w:tr w14:paraId="7C85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1E58BA6">
            <w:pPr>
              <w:numPr>
                <w:ilvl w:val="0"/>
                <w:numId w:val="3"/>
              </w:numPr>
              <w:jc w:val="center"/>
              <w:rPr>
                <w:color w:val="auto"/>
              </w:rPr>
            </w:pPr>
          </w:p>
        </w:tc>
        <w:tc>
          <w:tcPr>
            <w:tcW w:w="1884" w:type="dxa"/>
            <w:vAlign w:val="center"/>
          </w:tcPr>
          <w:p w14:paraId="08E37301">
            <w:pPr>
              <w:jc w:val="center"/>
              <w:rPr>
                <w:color w:val="auto"/>
              </w:rPr>
            </w:pPr>
          </w:p>
        </w:tc>
        <w:tc>
          <w:tcPr>
            <w:tcW w:w="1356" w:type="dxa"/>
            <w:vAlign w:val="center"/>
          </w:tcPr>
          <w:p w14:paraId="177B5A24">
            <w:pPr>
              <w:jc w:val="center"/>
              <w:rPr>
                <w:color w:val="auto"/>
              </w:rPr>
            </w:pPr>
          </w:p>
          <w:p w14:paraId="00FB008B">
            <w:pPr>
              <w:jc w:val="center"/>
              <w:rPr>
                <w:color w:val="auto"/>
              </w:rPr>
            </w:pPr>
          </w:p>
        </w:tc>
        <w:tc>
          <w:tcPr>
            <w:tcW w:w="2136" w:type="dxa"/>
            <w:vAlign w:val="center"/>
          </w:tcPr>
          <w:p w14:paraId="5E12769E">
            <w:pPr>
              <w:jc w:val="center"/>
              <w:rPr>
                <w:color w:val="auto"/>
              </w:rPr>
            </w:pPr>
          </w:p>
        </w:tc>
        <w:tc>
          <w:tcPr>
            <w:tcW w:w="1484" w:type="dxa"/>
            <w:vAlign w:val="center"/>
          </w:tcPr>
          <w:p w14:paraId="63B91EF1">
            <w:pPr>
              <w:jc w:val="center"/>
              <w:rPr>
                <w:color w:val="auto"/>
              </w:rPr>
            </w:pPr>
          </w:p>
        </w:tc>
        <w:tc>
          <w:tcPr>
            <w:tcW w:w="1530" w:type="dxa"/>
            <w:vAlign w:val="center"/>
          </w:tcPr>
          <w:p w14:paraId="4DF8E733">
            <w:pPr>
              <w:jc w:val="center"/>
              <w:rPr>
                <w:color w:val="auto"/>
              </w:rPr>
            </w:pPr>
          </w:p>
        </w:tc>
      </w:tr>
      <w:tr w14:paraId="4F29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A5440B9">
            <w:pPr>
              <w:numPr>
                <w:ilvl w:val="0"/>
                <w:numId w:val="3"/>
              </w:numPr>
              <w:jc w:val="center"/>
              <w:rPr>
                <w:color w:val="auto"/>
              </w:rPr>
            </w:pPr>
          </w:p>
        </w:tc>
        <w:tc>
          <w:tcPr>
            <w:tcW w:w="1884" w:type="dxa"/>
            <w:vAlign w:val="center"/>
          </w:tcPr>
          <w:p w14:paraId="2E9AB23B">
            <w:pPr>
              <w:jc w:val="center"/>
              <w:rPr>
                <w:color w:val="auto"/>
              </w:rPr>
            </w:pPr>
          </w:p>
        </w:tc>
        <w:tc>
          <w:tcPr>
            <w:tcW w:w="1356" w:type="dxa"/>
            <w:vAlign w:val="center"/>
          </w:tcPr>
          <w:p w14:paraId="1CF6CAE8">
            <w:pPr>
              <w:jc w:val="center"/>
              <w:rPr>
                <w:color w:val="auto"/>
              </w:rPr>
            </w:pPr>
          </w:p>
          <w:p w14:paraId="508D285C">
            <w:pPr>
              <w:jc w:val="center"/>
              <w:rPr>
                <w:color w:val="auto"/>
              </w:rPr>
            </w:pPr>
          </w:p>
        </w:tc>
        <w:tc>
          <w:tcPr>
            <w:tcW w:w="2136" w:type="dxa"/>
            <w:vAlign w:val="center"/>
          </w:tcPr>
          <w:p w14:paraId="149AA5C1">
            <w:pPr>
              <w:jc w:val="center"/>
              <w:rPr>
                <w:color w:val="auto"/>
              </w:rPr>
            </w:pPr>
          </w:p>
        </w:tc>
        <w:tc>
          <w:tcPr>
            <w:tcW w:w="1484" w:type="dxa"/>
            <w:vAlign w:val="center"/>
          </w:tcPr>
          <w:p w14:paraId="2D7842A0">
            <w:pPr>
              <w:jc w:val="center"/>
              <w:rPr>
                <w:color w:val="auto"/>
              </w:rPr>
            </w:pPr>
          </w:p>
        </w:tc>
        <w:tc>
          <w:tcPr>
            <w:tcW w:w="1530" w:type="dxa"/>
            <w:vAlign w:val="center"/>
          </w:tcPr>
          <w:p w14:paraId="0CEDFB0E">
            <w:pPr>
              <w:jc w:val="center"/>
              <w:rPr>
                <w:color w:val="auto"/>
              </w:rPr>
            </w:pPr>
          </w:p>
        </w:tc>
      </w:tr>
      <w:tr w14:paraId="6FDB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25FB650">
            <w:pPr>
              <w:numPr>
                <w:ilvl w:val="0"/>
                <w:numId w:val="3"/>
              </w:numPr>
              <w:jc w:val="center"/>
              <w:rPr>
                <w:color w:val="auto"/>
              </w:rPr>
            </w:pPr>
          </w:p>
        </w:tc>
        <w:tc>
          <w:tcPr>
            <w:tcW w:w="1884" w:type="dxa"/>
            <w:vAlign w:val="center"/>
          </w:tcPr>
          <w:p w14:paraId="40AE6569">
            <w:pPr>
              <w:jc w:val="center"/>
              <w:rPr>
                <w:color w:val="auto"/>
              </w:rPr>
            </w:pPr>
          </w:p>
        </w:tc>
        <w:tc>
          <w:tcPr>
            <w:tcW w:w="1356" w:type="dxa"/>
            <w:vAlign w:val="center"/>
          </w:tcPr>
          <w:p w14:paraId="4CA67383">
            <w:pPr>
              <w:jc w:val="center"/>
              <w:rPr>
                <w:color w:val="auto"/>
              </w:rPr>
            </w:pPr>
          </w:p>
          <w:p w14:paraId="1892F678">
            <w:pPr>
              <w:jc w:val="center"/>
              <w:rPr>
                <w:color w:val="auto"/>
              </w:rPr>
            </w:pPr>
          </w:p>
        </w:tc>
        <w:tc>
          <w:tcPr>
            <w:tcW w:w="2136" w:type="dxa"/>
            <w:vAlign w:val="center"/>
          </w:tcPr>
          <w:p w14:paraId="2F91BE14">
            <w:pPr>
              <w:jc w:val="center"/>
              <w:rPr>
                <w:color w:val="auto"/>
              </w:rPr>
            </w:pPr>
          </w:p>
        </w:tc>
        <w:tc>
          <w:tcPr>
            <w:tcW w:w="1484" w:type="dxa"/>
            <w:vAlign w:val="center"/>
          </w:tcPr>
          <w:p w14:paraId="2C37F3C7">
            <w:pPr>
              <w:jc w:val="center"/>
              <w:rPr>
                <w:color w:val="auto"/>
              </w:rPr>
            </w:pPr>
          </w:p>
        </w:tc>
        <w:tc>
          <w:tcPr>
            <w:tcW w:w="1530" w:type="dxa"/>
            <w:vAlign w:val="center"/>
          </w:tcPr>
          <w:p w14:paraId="4EFCCF71">
            <w:pPr>
              <w:jc w:val="center"/>
              <w:rPr>
                <w:color w:val="auto"/>
              </w:rPr>
            </w:pPr>
          </w:p>
        </w:tc>
      </w:tr>
      <w:tr w14:paraId="617C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4D8DDB0">
            <w:pPr>
              <w:numPr>
                <w:ilvl w:val="0"/>
                <w:numId w:val="3"/>
              </w:numPr>
              <w:jc w:val="center"/>
              <w:rPr>
                <w:color w:val="auto"/>
              </w:rPr>
            </w:pPr>
          </w:p>
        </w:tc>
        <w:tc>
          <w:tcPr>
            <w:tcW w:w="1884" w:type="dxa"/>
            <w:vAlign w:val="center"/>
          </w:tcPr>
          <w:p w14:paraId="6DA3134E">
            <w:pPr>
              <w:jc w:val="center"/>
              <w:rPr>
                <w:color w:val="auto"/>
              </w:rPr>
            </w:pPr>
          </w:p>
        </w:tc>
        <w:tc>
          <w:tcPr>
            <w:tcW w:w="1356" w:type="dxa"/>
            <w:vAlign w:val="center"/>
          </w:tcPr>
          <w:p w14:paraId="09A3091C">
            <w:pPr>
              <w:jc w:val="center"/>
              <w:rPr>
                <w:color w:val="auto"/>
              </w:rPr>
            </w:pPr>
          </w:p>
          <w:p w14:paraId="33D7F63F">
            <w:pPr>
              <w:jc w:val="center"/>
              <w:rPr>
                <w:color w:val="auto"/>
              </w:rPr>
            </w:pPr>
          </w:p>
        </w:tc>
        <w:tc>
          <w:tcPr>
            <w:tcW w:w="2136" w:type="dxa"/>
            <w:vAlign w:val="center"/>
          </w:tcPr>
          <w:p w14:paraId="7D9CB2EE">
            <w:pPr>
              <w:jc w:val="center"/>
              <w:rPr>
                <w:color w:val="auto"/>
              </w:rPr>
            </w:pPr>
          </w:p>
        </w:tc>
        <w:tc>
          <w:tcPr>
            <w:tcW w:w="1484" w:type="dxa"/>
            <w:vAlign w:val="center"/>
          </w:tcPr>
          <w:p w14:paraId="350AB8AD">
            <w:pPr>
              <w:jc w:val="center"/>
              <w:rPr>
                <w:color w:val="auto"/>
              </w:rPr>
            </w:pPr>
          </w:p>
        </w:tc>
        <w:tc>
          <w:tcPr>
            <w:tcW w:w="1530" w:type="dxa"/>
            <w:vAlign w:val="center"/>
          </w:tcPr>
          <w:p w14:paraId="39A761BF">
            <w:pPr>
              <w:jc w:val="center"/>
              <w:rPr>
                <w:color w:val="auto"/>
              </w:rPr>
            </w:pPr>
          </w:p>
        </w:tc>
      </w:tr>
      <w:tr w14:paraId="3A62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18EF981">
            <w:pPr>
              <w:numPr>
                <w:ilvl w:val="0"/>
                <w:numId w:val="3"/>
              </w:numPr>
              <w:jc w:val="center"/>
              <w:rPr>
                <w:color w:val="auto"/>
              </w:rPr>
            </w:pPr>
          </w:p>
        </w:tc>
        <w:tc>
          <w:tcPr>
            <w:tcW w:w="1884" w:type="dxa"/>
            <w:vAlign w:val="center"/>
          </w:tcPr>
          <w:p w14:paraId="04AB4861">
            <w:pPr>
              <w:jc w:val="center"/>
              <w:rPr>
                <w:color w:val="auto"/>
              </w:rPr>
            </w:pPr>
          </w:p>
        </w:tc>
        <w:tc>
          <w:tcPr>
            <w:tcW w:w="1356" w:type="dxa"/>
            <w:vAlign w:val="center"/>
          </w:tcPr>
          <w:p w14:paraId="48895CC5">
            <w:pPr>
              <w:jc w:val="center"/>
              <w:rPr>
                <w:color w:val="auto"/>
              </w:rPr>
            </w:pPr>
          </w:p>
          <w:p w14:paraId="6ACA548B">
            <w:pPr>
              <w:jc w:val="center"/>
              <w:rPr>
                <w:color w:val="auto"/>
              </w:rPr>
            </w:pPr>
          </w:p>
        </w:tc>
        <w:tc>
          <w:tcPr>
            <w:tcW w:w="2136" w:type="dxa"/>
            <w:vAlign w:val="center"/>
          </w:tcPr>
          <w:p w14:paraId="3D1E53E2">
            <w:pPr>
              <w:jc w:val="center"/>
              <w:rPr>
                <w:color w:val="auto"/>
              </w:rPr>
            </w:pPr>
          </w:p>
        </w:tc>
        <w:tc>
          <w:tcPr>
            <w:tcW w:w="1484" w:type="dxa"/>
            <w:vAlign w:val="center"/>
          </w:tcPr>
          <w:p w14:paraId="0D983984">
            <w:pPr>
              <w:jc w:val="center"/>
              <w:rPr>
                <w:color w:val="auto"/>
              </w:rPr>
            </w:pPr>
          </w:p>
        </w:tc>
        <w:tc>
          <w:tcPr>
            <w:tcW w:w="1530" w:type="dxa"/>
            <w:vAlign w:val="center"/>
          </w:tcPr>
          <w:p w14:paraId="6F92F725">
            <w:pPr>
              <w:jc w:val="center"/>
              <w:rPr>
                <w:color w:val="auto"/>
              </w:rPr>
            </w:pPr>
          </w:p>
        </w:tc>
      </w:tr>
      <w:tr w14:paraId="4A93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665C4E6">
            <w:pPr>
              <w:numPr>
                <w:ilvl w:val="0"/>
                <w:numId w:val="3"/>
              </w:numPr>
              <w:jc w:val="center"/>
              <w:rPr>
                <w:color w:val="auto"/>
              </w:rPr>
            </w:pPr>
          </w:p>
        </w:tc>
        <w:tc>
          <w:tcPr>
            <w:tcW w:w="1884" w:type="dxa"/>
            <w:vAlign w:val="center"/>
          </w:tcPr>
          <w:p w14:paraId="2381D7FD">
            <w:pPr>
              <w:jc w:val="center"/>
              <w:rPr>
                <w:color w:val="auto"/>
              </w:rPr>
            </w:pPr>
          </w:p>
        </w:tc>
        <w:tc>
          <w:tcPr>
            <w:tcW w:w="1356" w:type="dxa"/>
            <w:vAlign w:val="center"/>
          </w:tcPr>
          <w:p w14:paraId="35061EF8">
            <w:pPr>
              <w:jc w:val="center"/>
              <w:rPr>
                <w:color w:val="auto"/>
              </w:rPr>
            </w:pPr>
          </w:p>
          <w:p w14:paraId="74BB7099">
            <w:pPr>
              <w:jc w:val="center"/>
              <w:rPr>
                <w:color w:val="auto"/>
              </w:rPr>
            </w:pPr>
          </w:p>
        </w:tc>
        <w:tc>
          <w:tcPr>
            <w:tcW w:w="2136" w:type="dxa"/>
            <w:vAlign w:val="center"/>
          </w:tcPr>
          <w:p w14:paraId="68711423">
            <w:pPr>
              <w:jc w:val="center"/>
              <w:rPr>
                <w:color w:val="auto"/>
              </w:rPr>
            </w:pPr>
          </w:p>
        </w:tc>
        <w:tc>
          <w:tcPr>
            <w:tcW w:w="1484" w:type="dxa"/>
            <w:vAlign w:val="center"/>
          </w:tcPr>
          <w:p w14:paraId="1D843651">
            <w:pPr>
              <w:jc w:val="center"/>
              <w:rPr>
                <w:color w:val="auto"/>
              </w:rPr>
            </w:pPr>
          </w:p>
        </w:tc>
        <w:tc>
          <w:tcPr>
            <w:tcW w:w="1530" w:type="dxa"/>
            <w:vAlign w:val="center"/>
          </w:tcPr>
          <w:p w14:paraId="0036B573">
            <w:pPr>
              <w:jc w:val="center"/>
              <w:rPr>
                <w:color w:val="auto"/>
              </w:rPr>
            </w:pPr>
          </w:p>
        </w:tc>
      </w:tr>
    </w:tbl>
    <w:p w14:paraId="4EE4F71A">
      <w:pPr>
        <w:pStyle w:val="56"/>
        <w:ind w:firstLine="0" w:firstLineChars="0"/>
        <w:jc w:val="left"/>
        <w:rPr>
          <w:rFonts w:ascii="Times New Roman" w:hAnsi="Times New Roman" w:eastAsia="宋体"/>
          <w:b/>
          <w:color w:val="auto"/>
          <w:sz w:val="24"/>
          <w:szCs w:val="24"/>
        </w:rPr>
      </w:pPr>
      <w:r>
        <w:rPr>
          <w:rFonts w:ascii="Times New Roman" w:hAnsi="Times New Roman" w:eastAsia="宋体"/>
          <w:b/>
          <w:color w:val="auto"/>
          <w:sz w:val="24"/>
          <w:szCs w:val="24"/>
        </w:rPr>
        <w:t>说明：</w:t>
      </w:r>
    </w:p>
    <w:p w14:paraId="452CEC1B">
      <w:pPr>
        <w:pStyle w:val="56"/>
        <w:ind w:firstLine="360" w:firstLineChars="150"/>
        <w:jc w:val="left"/>
        <w:rPr>
          <w:rFonts w:ascii="Times New Roman" w:hAnsi="Times New Roman" w:eastAsia="宋体"/>
          <w:color w:val="auto"/>
          <w:sz w:val="24"/>
          <w:szCs w:val="24"/>
        </w:rPr>
      </w:pPr>
      <w:r>
        <w:rPr>
          <w:rFonts w:hint="eastAsia" w:ascii="Times New Roman" w:hAnsi="Times New Roman" w:eastAsia="宋体"/>
          <w:color w:val="auto"/>
          <w:sz w:val="24"/>
          <w:szCs w:val="24"/>
        </w:rPr>
        <w:t>一般</w:t>
      </w:r>
      <w:r>
        <w:rPr>
          <w:rFonts w:ascii="Times New Roman" w:hAnsi="Times New Roman" w:eastAsia="宋体"/>
          <w:color w:val="auto"/>
          <w:sz w:val="24"/>
          <w:szCs w:val="24"/>
        </w:rPr>
        <w:t>技术条款</w:t>
      </w:r>
      <w:r>
        <w:rPr>
          <w:rFonts w:hint="eastAsia" w:ascii="Times New Roman" w:hAnsi="Times New Roman" w:eastAsia="宋体"/>
          <w:color w:val="auto"/>
          <w:sz w:val="24"/>
          <w:szCs w:val="24"/>
        </w:rPr>
        <w:t>是指招标文件</w:t>
      </w:r>
      <w:r>
        <w:rPr>
          <w:rFonts w:ascii="宋体" w:eastAsia="宋体"/>
          <w:color w:val="auto"/>
          <w:sz w:val="24"/>
          <w:szCs w:val="24"/>
        </w:rPr>
        <w:t>“用户需求书”</w:t>
      </w:r>
      <w:r>
        <w:rPr>
          <w:rFonts w:hint="eastAsia" w:ascii="宋体" w:eastAsia="宋体"/>
          <w:color w:val="auto"/>
          <w:sz w:val="24"/>
          <w:szCs w:val="24"/>
        </w:rPr>
        <w:t>的“技术用户需求”中</w:t>
      </w:r>
      <w:r>
        <w:rPr>
          <w:rFonts w:hint="eastAsia" w:ascii="宋体" w:eastAsia="宋体"/>
          <w:b/>
          <w:color w:val="auto"/>
          <w:sz w:val="24"/>
          <w:szCs w:val="24"/>
          <w:u w:val="single"/>
        </w:rPr>
        <w:t>未标明</w:t>
      </w:r>
      <w:r>
        <w:rPr>
          <w:rFonts w:hint="eastAsia" w:ascii="宋体" w:eastAsia="宋体"/>
          <w:color w:val="auto"/>
          <w:sz w:val="24"/>
          <w:szCs w:val="24"/>
        </w:rPr>
        <w:t>“★”或“▲”</w:t>
      </w:r>
      <w:r>
        <w:rPr>
          <w:rFonts w:ascii="宋体" w:eastAsia="宋体"/>
          <w:color w:val="auto"/>
          <w:sz w:val="24"/>
          <w:szCs w:val="24"/>
        </w:rPr>
        <w:t>的</w:t>
      </w:r>
      <w:r>
        <w:rPr>
          <w:rFonts w:ascii="Times New Roman" w:hAnsi="Times New Roman" w:eastAsia="宋体"/>
          <w:color w:val="auto"/>
          <w:sz w:val="24"/>
          <w:szCs w:val="24"/>
        </w:rPr>
        <w:t>内容</w:t>
      </w:r>
      <w:r>
        <w:rPr>
          <w:rFonts w:hint="eastAsia" w:ascii="Times New Roman" w:hAnsi="Times New Roman" w:eastAsia="宋体"/>
          <w:color w:val="auto"/>
          <w:sz w:val="24"/>
          <w:szCs w:val="24"/>
        </w:rPr>
        <w:t>，投标人若</w:t>
      </w:r>
      <w:r>
        <w:rPr>
          <w:rFonts w:ascii="Times New Roman" w:hAnsi="Times New Roman" w:eastAsia="宋体"/>
          <w:color w:val="auto"/>
          <w:sz w:val="24"/>
          <w:szCs w:val="24"/>
        </w:rPr>
        <w:t>完全响应</w:t>
      </w:r>
      <w:r>
        <w:rPr>
          <w:rFonts w:hint="eastAsia" w:ascii="Times New Roman" w:hAnsi="Times New Roman" w:eastAsia="宋体"/>
          <w:color w:val="auto"/>
          <w:sz w:val="24"/>
          <w:szCs w:val="24"/>
        </w:rPr>
        <w:t>该部分内容的，可填写“</w:t>
      </w:r>
      <w:r>
        <w:rPr>
          <w:rFonts w:hint="eastAsia" w:ascii="Times New Roman" w:hAnsi="Times New Roman" w:eastAsia="宋体"/>
          <w:b/>
          <w:color w:val="auto"/>
          <w:sz w:val="24"/>
          <w:szCs w:val="24"/>
        </w:rPr>
        <w:t>完全响应</w:t>
      </w:r>
      <w:r>
        <w:rPr>
          <w:rFonts w:hint="eastAsia" w:ascii="Times New Roman" w:hAnsi="Times New Roman" w:eastAsia="宋体"/>
          <w:color w:val="auto"/>
          <w:sz w:val="24"/>
          <w:szCs w:val="24"/>
        </w:rPr>
        <w:t>”；投标人若对该部分内容有偏离（包括正偏离及负偏离）的，应该填写相关的偏离事项。投标人必须认真如实进行填写，</w:t>
      </w:r>
      <w:r>
        <w:rPr>
          <w:rFonts w:ascii="Times New Roman" w:hAnsi="Times New Roman" w:eastAsia="宋体"/>
          <w:color w:val="auto"/>
          <w:sz w:val="24"/>
          <w:szCs w:val="24"/>
        </w:rPr>
        <w:t>投标人</w:t>
      </w:r>
      <w:r>
        <w:rPr>
          <w:rFonts w:hint="eastAsia" w:ascii="Times New Roman" w:hAnsi="Times New Roman" w:eastAsia="宋体"/>
          <w:color w:val="auto"/>
          <w:sz w:val="24"/>
          <w:szCs w:val="24"/>
        </w:rPr>
        <w:t>虚假响应或</w:t>
      </w:r>
      <w:r>
        <w:rPr>
          <w:rFonts w:ascii="Times New Roman" w:hAnsi="Times New Roman" w:eastAsia="宋体"/>
          <w:color w:val="auto"/>
          <w:sz w:val="24"/>
          <w:szCs w:val="24"/>
        </w:rPr>
        <w:t>提供虚假材料的，经查证，移送监管部门查处。</w:t>
      </w:r>
    </w:p>
    <w:p w14:paraId="7D0EA51C">
      <w:pPr>
        <w:pStyle w:val="56"/>
        <w:spacing w:line="276" w:lineRule="auto"/>
        <w:ind w:firstLine="0" w:firstLineChars="0"/>
        <w:jc w:val="left"/>
        <w:rPr>
          <w:rFonts w:ascii="Times New Roman" w:hAnsi="Times New Roman" w:eastAsia="宋体"/>
          <w:color w:val="auto"/>
          <w:sz w:val="24"/>
          <w:szCs w:val="24"/>
        </w:rPr>
      </w:pPr>
    </w:p>
    <w:p w14:paraId="4993622D">
      <w:pPr>
        <w:spacing w:line="276" w:lineRule="auto"/>
        <w:rPr>
          <w:color w:val="auto"/>
          <w:sz w:val="24"/>
        </w:rPr>
      </w:pPr>
      <w:r>
        <w:rPr>
          <w:color w:val="auto"/>
          <w:sz w:val="24"/>
        </w:rPr>
        <w:t>投标人名称：</w:t>
      </w:r>
      <w:r>
        <w:rPr>
          <w:color w:val="auto"/>
          <w:sz w:val="24"/>
          <w:u w:val="single"/>
        </w:rPr>
        <w:t xml:space="preserve">             </w:t>
      </w:r>
      <w:r>
        <w:rPr>
          <w:color w:val="auto"/>
          <w:sz w:val="24"/>
        </w:rPr>
        <w:t>（盖章）</w:t>
      </w:r>
    </w:p>
    <w:p w14:paraId="50F3CB8E">
      <w:pPr>
        <w:spacing w:line="276" w:lineRule="auto"/>
        <w:rPr>
          <w:color w:val="auto"/>
          <w:sz w:val="24"/>
        </w:rPr>
      </w:pPr>
    </w:p>
    <w:p w14:paraId="752F69E1">
      <w:pPr>
        <w:spacing w:line="276" w:lineRule="auto"/>
        <w:rPr>
          <w:color w:val="auto"/>
          <w:sz w:val="24"/>
        </w:rPr>
      </w:pPr>
      <w:r>
        <w:rPr>
          <w:color w:val="auto"/>
          <w:sz w:val="24"/>
        </w:rPr>
        <w:t>投标人代表：</w:t>
      </w:r>
      <w:r>
        <w:rPr>
          <w:color w:val="auto"/>
          <w:sz w:val="24"/>
          <w:u w:val="single"/>
        </w:rPr>
        <w:t xml:space="preserve">             </w:t>
      </w:r>
      <w:r>
        <w:rPr>
          <w:color w:val="auto"/>
          <w:sz w:val="24"/>
        </w:rPr>
        <w:t>（签名或盖章）</w:t>
      </w:r>
    </w:p>
    <w:p w14:paraId="0910DBBC">
      <w:pPr>
        <w:spacing w:line="276" w:lineRule="auto"/>
        <w:rPr>
          <w:color w:val="auto"/>
          <w:sz w:val="24"/>
        </w:rPr>
      </w:pPr>
    </w:p>
    <w:p w14:paraId="387F4E16">
      <w:pPr>
        <w:spacing w:line="276" w:lineRule="auto"/>
        <w:rPr>
          <w:color w:val="auto"/>
          <w:sz w:val="24"/>
        </w:rPr>
      </w:pPr>
      <w:r>
        <w:rPr>
          <w:color w:val="auto"/>
          <w:sz w:val="24"/>
        </w:rPr>
        <w:t>日      期：</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p w14:paraId="29F5B071">
      <w:pPr>
        <w:pStyle w:val="58"/>
        <w:spacing w:before="156" w:beforeLines="50" w:after="156" w:afterLines="50" w:line="240" w:lineRule="auto"/>
        <w:jc w:val="center"/>
        <w:rPr>
          <w:rFonts w:ascii="Times New Roman" w:hAnsi="Times New Roman" w:eastAsia="宋体"/>
          <w:b/>
          <w:color w:val="auto"/>
          <w:sz w:val="32"/>
          <w:szCs w:val="32"/>
        </w:rPr>
      </w:pPr>
      <w:r>
        <w:rPr>
          <w:rFonts w:ascii="Times New Roman" w:hAnsi="Times New Roman" w:eastAsia="宋体"/>
          <w:color w:val="auto"/>
          <w:sz w:val="24"/>
          <w:szCs w:val="24"/>
        </w:rPr>
        <w:br w:type="page"/>
      </w:r>
      <w:r>
        <w:rPr>
          <w:rFonts w:hint="eastAsia" w:ascii="Times New Roman" w:hAnsi="Times New Roman" w:eastAsia="宋体"/>
          <w:b/>
          <w:color w:val="auto"/>
          <w:sz w:val="32"/>
          <w:szCs w:val="32"/>
        </w:rPr>
        <w:t>2、重要</w:t>
      </w:r>
      <w:r>
        <w:rPr>
          <w:rFonts w:ascii="Times New Roman" w:hAnsi="Times New Roman" w:eastAsia="宋体"/>
          <w:b/>
          <w:color w:val="auto"/>
          <w:sz w:val="32"/>
          <w:szCs w:val="32"/>
        </w:rPr>
        <w:t>技术条款偏离表</w:t>
      </w:r>
      <w:r>
        <w:rPr>
          <w:rFonts w:hint="eastAsia" w:ascii="Times New Roman" w:hAnsi="Times New Roman" w:eastAsia="宋体"/>
          <w:b/>
          <w:color w:val="auto"/>
          <w:sz w:val="32"/>
          <w:szCs w:val="32"/>
        </w:rPr>
        <w:t>（如有）</w:t>
      </w:r>
    </w:p>
    <w:p w14:paraId="01B2F3BC">
      <w:pPr>
        <w:spacing w:after="156" w:afterLines="50"/>
        <w:rPr>
          <w:color w:val="auto"/>
          <w:sz w:val="24"/>
        </w:rPr>
      </w:pPr>
      <w:r>
        <w:rPr>
          <w:color w:val="auto"/>
          <w:sz w:val="24"/>
        </w:rPr>
        <w:t>投标人名称：</w:t>
      </w:r>
      <w:r>
        <w:rPr>
          <w:color w:val="auto"/>
          <w:sz w:val="24"/>
          <w:u w:val="single"/>
        </w:rPr>
        <w:t>　　　　　　　　　　</w:t>
      </w:r>
      <w:r>
        <w:rPr>
          <w:color w:val="auto"/>
          <w:sz w:val="24"/>
        </w:rPr>
        <w:t>　　</w:t>
      </w:r>
    </w:p>
    <w:p w14:paraId="7F458BDD">
      <w:pPr>
        <w:tabs>
          <w:tab w:val="left" w:pos="8280"/>
        </w:tabs>
        <w:spacing w:line="360" w:lineRule="auto"/>
        <w:jc w:val="left"/>
        <w:rPr>
          <w:rFonts w:ascii="仿宋_GB2312" w:eastAsia="仿宋_GB2312"/>
          <w:b/>
          <w:color w:val="auto"/>
          <w:sz w:val="24"/>
          <w:lang w:val="zh-CN"/>
        </w:rPr>
      </w:pPr>
      <w:r>
        <w:rPr>
          <w:rFonts w:hint="eastAsia"/>
          <w:color w:val="auto"/>
          <w:sz w:val="24"/>
        </w:rPr>
        <w:t>项目名称</w:t>
      </w:r>
      <w:r>
        <w:rPr>
          <w:color w:val="auto"/>
          <w:sz w:val="24"/>
        </w:rPr>
        <w:t>：</w:t>
      </w:r>
      <w:r>
        <w:rPr>
          <w:rFonts w:hint="eastAsia" w:ascii="仿宋_GB2312" w:eastAsia="仿宋_GB2312"/>
          <w:b/>
          <w:color w:val="auto"/>
          <w:sz w:val="24"/>
          <w:highlight w:val="none"/>
          <w:lang w:val="zh-CN"/>
        </w:rPr>
        <w:t>东莞市社会保险基金管理中心XXXXXXXXXXXX项目（</w:t>
      </w:r>
      <w:r>
        <w:rPr>
          <w:rFonts w:hint="eastAsia" w:ascii="仿宋_GB2312" w:eastAsia="仿宋_GB2312"/>
          <w:b/>
          <w:color w:val="auto"/>
          <w:sz w:val="24"/>
          <w:highlight w:val="none"/>
          <w:lang w:val="en-US" w:eastAsia="zh-CN"/>
        </w:rPr>
        <w:t>二次</w:t>
      </w:r>
      <w:r>
        <w:rPr>
          <w:rFonts w:hint="eastAsia" w:ascii="仿宋_GB2312" w:eastAsia="仿宋_GB2312"/>
          <w:b/>
          <w:color w:val="auto"/>
          <w:sz w:val="24"/>
          <w:highlight w:val="none"/>
          <w:lang w:val="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84"/>
        <w:gridCol w:w="1356"/>
        <w:gridCol w:w="2136"/>
        <w:gridCol w:w="1484"/>
        <w:gridCol w:w="1530"/>
      </w:tblGrid>
      <w:tr w14:paraId="6489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28" w:type="dxa"/>
            <w:vAlign w:val="center"/>
          </w:tcPr>
          <w:p w14:paraId="233F3E7C">
            <w:pPr>
              <w:jc w:val="center"/>
              <w:rPr>
                <w:b/>
                <w:color w:val="auto"/>
                <w:sz w:val="24"/>
              </w:rPr>
            </w:pPr>
            <w:r>
              <w:rPr>
                <w:b/>
                <w:color w:val="auto"/>
                <w:sz w:val="24"/>
              </w:rPr>
              <w:t>序号</w:t>
            </w:r>
          </w:p>
        </w:tc>
        <w:tc>
          <w:tcPr>
            <w:tcW w:w="1884" w:type="dxa"/>
            <w:vAlign w:val="center"/>
          </w:tcPr>
          <w:p w14:paraId="64544CC7">
            <w:pPr>
              <w:jc w:val="center"/>
              <w:rPr>
                <w:b/>
                <w:color w:val="auto"/>
                <w:sz w:val="24"/>
              </w:rPr>
            </w:pPr>
            <w:r>
              <w:rPr>
                <w:b/>
                <w:color w:val="auto"/>
                <w:sz w:val="24"/>
              </w:rPr>
              <w:t>条款名称</w:t>
            </w:r>
          </w:p>
        </w:tc>
        <w:tc>
          <w:tcPr>
            <w:tcW w:w="1356" w:type="dxa"/>
            <w:vAlign w:val="center"/>
          </w:tcPr>
          <w:p w14:paraId="7603B216">
            <w:pPr>
              <w:jc w:val="center"/>
              <w:rPr>
                <w:b/>
                <w:color w:val="auto"/>
                <w:sz w:val="24"/>
              </w:rPr>
            </w:pPr>
            <w:r>
              <w:rPr>
                <w:b/>
                <w:color w:val="auto"/>
                <w:sz w:val="24"/>
              </w:rPr>
              <w:t>招标要求</w:t>
            </w:r>
          </w:p>
        </w:tc>
        <w:tc>
          <w:tcPr>
            <w:tcW w:w="2136" w:type="dxa"/>
            <w:vAlign w:val="center"/>
          </w:tcPr>
          <w:p w14:paraId="3B0510ED">
            <w:pPr>
              <w:jc w:val="center"/>
              <w:rPr>
                <w:b/>
                <w:color w:val="auto"/>
                <w:sz w:val="24"/>
              </w:rPr>
            </w:pPr>
            <w:r>
              <w:rPr>
                <w:b/>
                <w:color w:val="auto"/>
                <w:sz w:val="24"/>
              </w:rPr>
              <w:t>投标实际响应</w:t>
            </w:r>
          </w:p>
        </w:tc>
        <w:tc>
          <w:tcPr>
            <w:tcW w:w="1484" w:type="dxa"/>
            <w:vAlign w:val="center"/>
          </w:tcPr>
          <w:p w14:paraId="40BE0807">
            <w:pPr>
              <w:jc w:val="center"/>
              <w:rPr>
                <w:b/>
                <w:color w:val="auto"/>
                <w:sz w:val="24"/>
              </w:rPr>
            </w:pPr>
            <w:r>
              <w:rPr>
                <w:b/>
                <w:color w:val="auto"/>
                <w:sz w:val="24"/>
              </w:rPr>
              <w:t>是否偏离</w:t>
            </w:r>
          </w:p>
        </w:tc>
        <w:tc>
          <w:tcPr>
            <w:tcW w:w="1530" w:type="dxa"/>
            <w:vAlign w:val="center"/>
          </w:tcPr>
          <w:p w14:paraId="69D2C274">
            <w:pPr>
              <w:jc w:val="center"/>
              <w:rPr>
                <w:b/>
                <w:color w:val="auto"/>
                <w:sz w:val="24"/>
              </w:rPr>
            </w:pPr>
            <w:r>
              <w:rPr>
                <w:b/>
                <w:color w:val="auto"/>
                <w:sz w:val="24"/>
              </w:rPr>
              <w:t>说明</w:t>
            </w:r>
          </w:p>
        </w:tc>
      </w:tr>
      <w:tr w14:paraId="1E5B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5A672A7">
            <w:pPr>
              <w:numPr>
                <w:ilvl w:val="0"/>
                <w:numId w:val="4"/>
              </w:numPr>
              <w:jc w:val="center"/>
              <w:rPr>
                <w:color w:val="auto"/>
                <w:sz w:val="24"/>
              </w:rPr>
            </w:pPr>
          </w:p>
        </w:tc>
        <w:tc>
          <w:tcPr>
            <w:tcW w:w="1884" w:type="dxa"/>
            <w:vAlign w:val="center"/>
          </w:tcPr>
          <w:p w14:paraId="7F429C6D">
            <w:pPr>
              <w:jc w:val="center"/>
              <w:rPr>
                <w:color w:val="auto"/>
                <w:sz w:val="24"/>
              </w:rPr>
            </w:pPr>
          </w:p>
        </w:tc>
        <w:tc>
          <w:tcPr>
            <w:tcW w:w="1356" w:type="dxa"/>
            <w:vAlign w:val="center"/>
          </w:tcPr>
          <w:p w14:paraId="4B09F6EF">
            <w:pPr>
              <w:jc w:val="center"/>
              <w:rPr>
                <w:color w:val="auto"/>
                <w:sz w:val="24"/>
              </w:rPr>
            </w:pPr>
          </w:p>
          <w:p w14:paraId="38A6CDEE">
            <w:pPr>
              <w:jc w:val="center"/>
              <w:rPr>
                <w:color w:val="auto"/>
                <w:sz w:val="24"/>
              </w:rPr>
            </w:pPr>
          </w:p>
        </w:tc>
        <w:tc>
          <w:tcPr>
            <w:tcW w:w="2136" w:type="dxa"/>
            <w:vAlign w:val="center"/>
          </w:tcPr>
          <w:p w14:paraId="16E76CBA">
            <w:pPr>
              <w:jc w:val="center"/>
              <w:rPr>
                <w:color w:val="auto"/>
                <w:sz w:val="24"/>
              </w:rPr>
            </w:pPr>
          </w:p>
        </w:tc>
        <w:tc>
          <w:tcPr>
            <w:tcW w:w="1484" w:type="dxa"/>
            <w:vAlign w:val="center"/>
          </w:tcPr>
          <w:p w14:paraId="5E42919B">
            <w:pPr>
              <w:jc w:val="center"/>
              <w:rPr>
                <w:color w:val="auto"/>
                <w:sz w:val="24"/>
              </w:rPr>
            </w:pPr>
          </w:p>
        </w:tc>
        <w:tc>
          <w:tcPr>
            <w:tcW w:w="1530" w:type="dxa"/>
            <w:vAlign w:val="center"/>
          </w:tcPr>
          <w:p w14:paraId="56050AD3">
            <w:pPr>
              <w:jc w:val="center"/>
              <w:rPr>
                <w:color w:val="auto"/>
                <w:sz w:val="24"/>
              </w:rPr>
            </w:pPr>
          </w:p>
        </w:tc>
      </w:tr>
      <w:tr w14:paraId="3B1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221040E">
            <w:pPr>
              <w:numPr>
                <w:ilvl w:val="0"/>
                <w:numId w:val="4"/>
              </w:numPr>
              <w:jc w:val="center"/>
              <w:rPr>
                <w:color w:val="auto"/>
                <w:sz w:val="22"/>
                <w:szCs w:val="22"/>
              </w:rPr>
            </w:pPr>
          </w:p>
        </w:tc>
        <w:tc>
          <w:tcPr>
            <w:tcW w:w="1884" w:type="dxa"/>
            <w:vAlign w:val="center"/>
          </w:tcPr>
          <w:p w14:paraId="5EDB7E33">
            <w:pPr>
              <w:jc w:val="center"/>
              <w:rPr>
                <w:color w:val="auto"/>
                <w:sz w:val="22"/>
                <w:szCs w:val="22"/>
              </w:rPr>
            </w:pPr>
          </w:p>
        </w:tc>
        <w:tc>
          <w:tcPr>
            <w:tcW w:w="1356" w:type="dxa"/>
            <w:vAlign w:val="center"/>
          </w:tcPr>
          <w:p w14:paraId="002627F3">
            <w:pPr>
              <w:jc w:val="center"/>
              <w:rPr>
                <w:color w:val="auto"/>
                <w:sz w:val="22"/>
                <w:szCs w:val="22"/>
              </w:rPr>
            </w:pPr>
          </w:p>
          <w:p w14:paraId="3A601DD4">
            <w:pPr>
              <w:jc w:val="center"/>
              <w:rPr>
                <w:color w:val="auto"/>
                <w:sz w:val="22"/>
                <w:szCs w:val="22"/>
              </w:rPr>
            </w:pPr>
          </w:p>
        </w:tc>
        <w:tc>
          <w:tcPr>
            <w:tcW w:w="2136" w:type="dxa"/>
            <w:vAlign w:val="center"/>
          </w:tcPr>
          <w:p w14:paraId="3CE04CAC">
            <w:pPr>
              <w:jc w:val="center"/>
              <w:rPr>
                <w:color w:val="auto"/>
                <w:sz w:val="22"/>
                <w:szCs w:val="22"/>
              </w:rPr>
            </w:pPr>
          </w:p>
        </w:tc>
        <w:tc>
          <w:tcPr>
            <w:tcW w:w="1484" w:type="dxa"/>
            <w:vAlign w:val="center"/>
          </w:tcPr>
          <w:p w14:paraId="5D10A605">
            <w:pPr>
              <w:jc w:val="center"/>
              <w:rPr>
                <w:color w:val="auto"/>
                <w:sz w:val="22"/>
                <w:szCs w:val="22"/>
              </w:rPr>
            </w:pPr>
          </w:p>
        </w:tc>
        <w:tc>
          <w:tcPr>
            <w:tcW w:w="1530" w:type="dxa"/>
            <w:vAlign w:val="center"/>
          </w:tcPr>
          <w:p w14:paraId="4F56E1E7">
            <w:pPr>
              <w:jc w:val="center"/>
              <w:rPr>
                <w:color w:val="auto"/>
                <w:sz w:val="22"/>
                <w:szCs w:val="22"/>
              </w:rPr>
            </w:pPr>
          </w:p>
        </w:tc>
      </w:tr>
      <w:tr w14:paraId="208B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55B2604">
            <w:pPr>
              <w:numPr>
                <w:ilvl w:val="0"/>
                <w:numId w:val="4"/>
              </w:numPr>
              <w:jc w:val="center"/>
              <w:rPr>
                <w:color w:val="auto"/>
              </w:rPr>
            </w:pPr>
          </w:p>
        </w:tc>
        <w:tc>
          <w:tcPr>
            <w:tcW w:w="1884" w:type="dxa"/>
            <w:vAlign w:val="center"/>
          </w:tcPr>
          <w:p w14:paraId="2CF62432">
            <w:pPr>
              <w:jc w:val="center"/>
              <w:rPr>
                <w:color w:val="auto"/>
              </w:rPr>
            </w:pPr>
          </w:p>
        </w:tc>
        <w:tc>
          <w:tcPr>
            <w:tcW w:w="1356" w:type="dxa"/>
            <w:vAlign w:val="center"/>
          </w:tcPr>
          <w:p w14:paraId="24E20FA1">
            <w:pPr>
              <w:jc w:val="center"/>
              <w:rPr>
                <w:color w:val="auto"/>
              </w:rPr>
            </w:pPr>
          </w:p>
          <w:p w14:paraId="280A5AD5">
            <w:pPr>
              <w:jc w:val="center"/>
              <w:rPr>
                <w:color w:val="auto"/>
              </w:rPr>
            </w:pPr>
          </w:p>
        </w:tc>
        <w:tc>
          <w:tcPr>
            <w:tcW w:w="2136" w:type="dxa"/>
            <w:vAlign w:val="center"/>
          </w:tcPr>
          <w:p w14:paraId="61233BE1">
            <w:pPr>
              <w:jc w:val="center"/>
              <w:rPr>
                <w:color w:val="auto"/>
              </w:rPr>
            </w:pPr>
          </w:p>
        </w:tc>
        <w:tc>
          <w:tcPr>
            <w:tcW w:w="1484" w:type="dxa"/>
            <w:vAlign w:val="center"/>
          </w:tcPr>
          <w:p w14:paraId="09B6CFC8">
            <w:pPr>
              <w:jc w:val="center"/>
              <w:rPr>
                <w:color w:val="auto"/>
              </w:rPr>
            </w:pPr>
          </w:p>
        </w:tc>
        <w:tc>
          <w:tcPr>
            <w:tcW w:w="1530" w:type="dxa"/>
            <w:vAlign w:val="center"/>
          </w:tcPr>
          <w:p w14:paraId="2415F372">
            <w:pPr>
              <w:jc w:val="center"/>
              <w:rPr>
                <w:color w:val="auto"/>
              </w:rPr>
            </w:pPr>
          </w:p>
        </w:tc>
      </w:tr>
      <w:tr w14:paraId="483B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445DF42">
            <w:pPr>
              <w:numPr>
                <w:ilvl w:val="0"/>
                <w:numId w:val="4"/>
              </w:numPr>
              <w:jc w:val="center"/>
              <w:rPr>
                <w:color w:val="auto"/>
              </w:rPr>
            </w:pPr>
          </w:p>
        </w:tc>
        <w:tc>
          <w:tcPr>
            <w:tcW w:w="1884" w:type="dxa"/>
            <w:vAlign w:val="center"/>
          </w:tcPr>
          <w:p w14:paraId="48CC3365">
            <w:pPr>
              <w:jc w:val="center"/>
              <w:rPr>
                <w:color w:val="auto"/>
              </w:rPr>
            </w:pPr>
          </w:p>
        </w:tc>
        <w:tc>
          <w:tcPr>
            <w:tcW w:w="1356" w:type="dxa"/>
            <w:vAlign w:val="center"/>
          </w:tcPr>
          <w:p w14:paraId="5CECCC01">
            <w:pPr>
              <w:jc w:val="center"/>
              <w:rPr>
                <w:color w:val="auto"/>
              </w:rPr>
            </w:pPr>
          </w:p>
          <w:p w14:paraId="347188E1">
            <w:pPr>
              <w:jc w:val="center"/>
              <w:rPr>
                <w:color w:val="auto"/>
              </w:rPr>
            </w:pPr>
          </w:p>
        </w:tc>
        <w:tc>
          <w:tcPr>
            <w:tcW w:w="2136" w:type="dxa"/>
            <w:vAlign w:val="center"/>
          </w:tcPr>
          <w:p w14:paraId="2D20E246">
            <w:pPr>
              <w:jc w:val="center"/>
              <w:rPr>
                <w:color w:val="auto"/>
              </w:rPr>
            </w:pPr>
          </w:p>
        </w:tc>
        <w:tc>
          <w:tcPr>
            <w:tcW w:w="1484" w:type="dxa"/>
            <w:vAlign w:val="center"/>
          </w:tcPr>
          <w:p w14:paraId="1E50F343">
            <w:pPr>
              <w:jc w:val="center"/>
              <w:rPr>
                <w:color w:val="auto"/>
              </w:rPr>
            </w:pPr>
          </w:p>
        </w:tc>
        <w:tc>
          <w:tcPr>
            <w:tcW w:w="1530" w:type="dxa"/>
            <w:vAlign w:val="center"/>
          </w:tcPr>
          <w:p w14:paraId="02241827">
            <w:pPr>
              <w:jc w:val="center"/>
              <w:rPr>
                <w:color w:val="auto"/>
              </w:rPr>
            </w:pPr>
          </w:p>
        </w:tc>
      </w:tr>
      <w:tr w14:paraId="5A54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DC41125">
            <w:pPr>
              <w:numPr>
                <w:ilvl w:val="0"/>
                <w:numId w:val="4"/>
              </w:numPr>
              <w:jc w:val="center"/>
              <w:rPr>
                <w:color w:val="auto"/>
              </w:rPr>
            </w:pPr>
          </w:p>
        </w:tc>
        <w:tc>
          <w:tcPr>
            <w:tcW w:w="1884" w:type="dxa"/>
            <w:vAlign w:val="center"/>
          </w:tcPr>
          <w:p w14:paraId="127F16EA">
            <w:pPr>
              <w:jc w:val="center"/>
              <w:rPr>
                <w:color w:val="auto"/>
              </w:rPr>
            </w:pPr>
          </w:p>
        </w:tc>
        <w:tc>
          <w:tcPr>
            <w:tcW w:w="1356" w:type="dxa"/>
            <w:vAlign w:val="center"/>
          </w:tcPr>
          <w:p w14:paraId="6E5F01F8">
            <w:pPr>
              <w:jc w:val="center"/>
              <w:rPr>
                <w:color w:val="auto"/>
              </w:rPr>
            </w:pPr>
          </w:p>
          <w:p w14:paraId="100F17A8">
            <w:pPr>
              <w:jc w:val="center"/>
              <w:rPr>
                <w:color w:val="auto"/>
              </w:rPr>
            </w:pPr>
          </w:p>
        </w:tc>
        <w:tc>
          <w:tcPr>
            <w:tcW w:w="2136" w:type="dxa"/>
            <w:vAlign w:val="center"/>
          </w:tcPr>
          <w:p w14:paraId="19E0EED1">
            <w:pPr>
              <w:jc w:val="center"/>
              <w:rPr>
                <w:color w:val="auto"/>
              </w:rPr>
            </w:pPr>
          </w:p>
        </w:tc>
        <w:tc>
          <w:tcPr>
            <w:tcW w:w="1484" w:type="dxa"/>
            <w:vAlign w:val="center"/>
          </w:tcPr>
          <w:p w14:paraId="0E24BE0D">
            <w:pPr>
              <w:jc w:val="center"/>
              <w:rPr>
                <w:color w:val="auto"/>
              </w:rPr>
            </w:pPr>
          </w:p>
        </w:tc>
        <w:tc>
          <w:tcPr>
            <w:tcW w:w="1530" w:type="dxa"/>
            <w:vAlign w:val="center"/>
          </w:tcPr>
          <w:p w14:paraId="23DE6825">
            <w:pPr>
              <w:jc w:val="center"/>
              <w:rPr>
                <w:color w:val="auto"/>
              </w:rPr>
            </w:pPr>
          </w:p>
        </w:tc>
      </w:tr>
      <w:tr w14:paraId="75BA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1DD3BDC">
            <w:pPr>
              <w:numPr>
                <w:ilvl w:val="0"/>
                <w:numId w:val="4"/>
              </w:numPr>
              <w:jc w:val="center"/>
              <w:rPr>
                <w:color w:val="auto"/>
              </w:rPr>
            </w:pPr>
          </w:p>
        </w:tc>
        <w:tc>
          <w:tcPr>
            <w:tcW w:w="1884" w:type="dxa"/>
            <w:vAlign w:val="center"/>
          </w:tcPr>
          <w:p w14:paraId="54059846">
            <w:pPr>
              <w:jc w:val="center"/>
              <w:rPr>
                <w:color w:val="auto"/>
              </w:rPr>
            </w:pPr>
          </w:p>
        </w:tc>
        <w:tc>
          <w:tcPr>
            <w:tcW w:w="1356" w:type="dxa"/>
            <w:vAlign w:val="center"/>
          </w:tcPr>
          <w:p w14:paraId="64C8DE88">
            <w:pPr>
              <w:jc w:val="center"/>
              <w:rPr>
                <w:color w:val="auto"/>
              </w:rPr>
            </w:pPr>
          </w:p>
          <w:p w14:paraId="00D0DA37">
            <w:pPr>
              <w:jc w:val="center"/>
              <w:rPr>
                <w:color w:val="auto"/>
              </w:rPr>
            </w:pPr>
          </w:p>
        </w:tc>
        <w:tc>
          <w:tcPr>
            <w:tcW w:w="2136" w:type="dxa"/>
            <w:vAlign w:val="center"/>
          </w:tcPr>
          <w:p w14:paraId="17E0DC5C">
            <w:pPr>
              <w:jc w:val="center"/>
              <w:rPr>
                <w:color w:val="auto"/>
              </w:rPr>
            </w:pPr>
          </w:p>
        </w:tc>
        <w:tc>
          <w:tcPr>
            <w:tcW w:w="1484" w:type="dxa"/>
            <w:vAlign w:val="center"/>
          </w:tcPr>
          <w:p w14:paraId="00B9D086">
            <w:pPr>
              <w:jc w:val="center"/>
              <w:rPr>
                <w:color w:val="auto"/>
              </w:rPr>
            </w:pPr>
          </w:p>
        </w:tc>
        <w:tc>
          <w:tcPr>
            <w:tcW w:w="1530" w:type="dxa"/>
            <w:vAlign w:val="center"/>
          </w:tcPr>
          <w:p w14:paraId="0D921644">
            <w:pPr>
              <w:jc w:val="center"/>
              <w:rPr>
                <w:color w:val="auto"/>
              </w:rPr>
            </w:pPr>
          </w:p>
        </w:tc>
      </w:tr>
      <w:tr w14:paraId="40C1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7DDEA1D">
            <w:pPr>
              <w:numPr>
                <w:ilvl w:val="0"/>
                <w:numId w:val="4"/>
              </w:numPr>
              <w:jc w:val="center"/>
              <w:rPr>
                <w:color w:val="auto"/>
              </w:rPr>
            </w:pPr>
          </w:p>
        </w:tc>
        <w:tc>
          <w:tcPr>
            <w:tcW w:w="1884" w:type="dxa"/>
            <w:vAlign w:val="center"/>
          </w:tcPr>
          <w:p w14:paraId="7AA108E1">
            <w:pPr>
              <w:jc w:val="center"/>
              <w:rPr>
                <w:color w:val="auto"/>
              </w:rPr>
            </w:pPr>
          </w:p>
        </w:tc>
        <w:tc>
          <w:tcPr>
            <w:tcW w:w="1356" w:type="dxa"/>
            <w:vAlign w:val="center"/>
          </w:tcPr>
          <w:p w14:paraId="56D6C05B">
            <w:pPr>
              <w:jc w:val="center"/>
              <w:rPr>
                <w:color w:val="auto"/>
              </w:rPr>
            </w:pPr>
          </w:p>
          <w:p w14:paraId="29C03E00">
            <w:pPr>
              <w:jc w:val="center"/>
              <w:rPr>
                <w:color w:val="auto"/>
              </w:rPr>
            </w:pPr>
          </w:p>
        </w:tc>
        <w:tc>
          <w:tcPr>
            <w:tcW w:w="2136" w:type="dxa"/>
            <w:vAlign w:val="center"/>
          </w:tcPr>
          <w:p w14:paraId="14354893">
            <w:pPr>
              <w:jc w:val="center"/>
              <w:rPr>
                <w:color w:val="auto"/>
              </w:rPr>
            </w:pPr>
          </w:p>
        </w:tc>
        <w:tc>
          <w:tcPr>
            <w:tcW w:w="1484" w:type="dxa"/>
            <w:vAlign w:val="center"/>
          </w:tcPr>
          <w:p w14:paraId="6A97043E">
            <w:pPr>
              <w:jc w:val="center"/>
              <w:rPr>
                <w:color w:val="auto"/>
              </w:rPr>
            </w:pPr>
          </w:p>
        </w:tc>
        <w:tc>
          <w:tcPr>
            <w:tcW w:w="1530" w:type="dxa"/>
            <w:vAlign w:val="center"/>
          </w:tcPr>
          <w:p w14:paraId="22F6B175">
            <w:pPr>
              <w:jc w:val="center"/>
              <w:rPr>
                <w:color w:val="auto"/>
              </w:rPr>
            </w:pPr>
          </w:p>
        </w:tc>
      </w:tr>
    </w:tbl>
    <w:p w14:paraId="54FA52F0">
      <w:pPr>
        <w:pStyle w:val="56"/>
        <w:ind w:firstLine="0" w:firstLineChars="0"/>
        <w:jc w:val="left"/>
        <w:rPr>
          <w:rFonts w:ascii="Times New Roman" w:hAnsi="Times New Roman" w:eastAsia="宋体"/>
          <w:b/>
          <w:color w:val="auto"/>
          <w:sz w:val="24"/>
          <w:szCs w:val="24"/>
        </w:rPr>
      </w:pPr>
      <w:r>
        <w:rPr>
          <w:rFonts w:ascii="Times New Roman" w:hAnsi="Times New Roman" w:eastAsia="宋体"/>
          <w:b/>
          <w:color w:val="auto"/>
          <w:sz w:val="24"/>
          <w:szCs w:val="24"/>
        </w:rPr>
        <w:t>说明：</w:t>
      </w:r>
    </w:p>
    <w:p w14:paraId="5B4AF8DF">
      <w:pPr>
        <w:pStyle w:val="56"/>
        <w:spacing w:line="520" w:lineRule="exact"/>
        <w:ind w:firstLine="360" w:firstLineChars="150"/>
        <w:jc w:val="left"/>
        <w:rPr>
          <w:rFonts w:ascii="Times New Roman" w:hAnsi="Times New Roman" w:eastAsia="宋体"/>
          <w:color w:val="auto"/>
          <w:sz w:val="24"/>
          <w:szCs w:val="24"/>
        </w:rPr>
      </w:pPr>
      <w:r>
        <w:rPr>
          <w:rFonts w:hint="eastAsia" w:ascii="Times New Roman" w:hAnsi="Times New Roman" w:eastAsia="宋体"/>
          <w:color w:val="auto"/>
          <w:sz w:val="24"/>
          <w:szCs w:val="24"/>
        </w:rPr>
        <w:t>重要</w:t>
      </w:r>
      <w:r>
        <w:rPr>
          <w:rFonts w:ascii="Times New Roman" w:hAnsi="Times New Roman" w:eastAsia="宋体"/>
          <w:color w:val="auto"/>
          <w:sz w:val="24"/>
          <w:szCs w:val="24"/>
        </w:rPr>
        <w:t>技术条款</w:t>
      </w:r>
      <w:r>
        <w:rPr>
          <w:rFonts w:hint="eastAsia" w:ascii="Times New Roman" w:hAnsi="Times New Roman" w:eastAsia="宋体"/>
          <w:color w:val="auto"/>
          <w:sz w:val="24"/>
          <w:szCs w:val="24"/>
        </w:rPr>
        <w:t>是指招标文件</w:t>
      </w:r>
      <w:r>
        <w:rPr>
          <w:rFonts w:ascii="宋体" w:eastAsia="宋体"/>
          <w:color w:val="auto"/>
          <w:sz w:val="24"/>
          <w:szCs w:val="24"/>
        </w:rPr>
        <w:t>“用户需求书”</w:t>
      </w:r>
      <w:r>
        <w:rPr>
          <w:rFonts w:hint="eastAsia" w:ascii="宋体" w:eastAsia="宋体"/>
          <w:color w:val="auto"/>
          <w:sz w:val="24"/>
          <w:szCs w:val="24"/>
        </w:rPr>
        <w:t>的“技术用户需求”中</w:t>
      </w:r>
      <w:r>
        <w:rPr>
          <w:rFonts w:hint="eastAsia" w:ascii="宋体" w:eastAsia="宋体"/>
          <w:b/>
          <w:color w:val="auto"/>
          <w:sz w:val="24"/>
          <w:szCs w:val="24"/>
          <w:u w:val="single"/>
        </w:rPr>
        <w:t>标明</w:t>
      </w:r>
      <w:r>
        <w:rPr>
          <w:rFonts w:hint="eastAsia" w:ascii="宋体" w:eastAsia="宋体"/>
          <w:color w:val="auto"/>
          <w:sz w:val="24"/>
          <w:szCs w:val="24"/>
        </w:rPr>
        <w:t>“★”或“▲”</w:t>
      </w:r>
      <w:r>
        <w:rPr>
          <w:rFonts w:ascii="宋体" w:eastAsia="宋体"/>
          <w:color w:val="auto"/>
          <w:sz w:val="24"/>
          <w:szCs w:val="24"/>
        </w:rPr>
        <w:t>的</w:t>
      </w:r>
      <w:r>
        <w:rPr>
          <w:rFonts w:ascii="Times New Roman" w:hAnsi="Times New Roman" w:eastAsia="宋体"/>
          <w:color w:val="auto"/>
          <w:sz w:val="24"/>
          <w:szCs w:val="24"/>
        </w:rPr>
        <w:t>内容</w:t>
      </w:r>
      <w:r>
        <w:rPr>
          <w:rFonts w:hint="eastAsia" w:ascii="Times New Roman" w:hAnsi="Times New Roman" w:eastAsia="宋体"/>
          <w:color w:val="auto"/>
          <w:sz w:val="24"/>
          <w:szCs w:val="24"/>
        </w:rPr>
        <w:t>，投标人必须对该部分进行</w:t>
      </w:r>
      <w:r>
        <w:rPr>
          <w:rFonts w:ascii="Times New Roman" w:hAnsi="Times New Roman" w:eastAsia="宋体"/>
          <w:color w:val="auto"/>
          <w:sz w:val="24"/>
          <w:szCs w:val="24"/>
        </w:rPr>
        <w:t>内容逐条响应</w:t>
      </w:r>
      <w:r>
        <w:rPr>
          <w:rFonts w:hint="eastAsia" w:ascii="Times New Roman" w:hAnsi="Times New Roman" w:eastAsia="宋体"/>
          <w:color w:val="auto"/>
          <w:sz w:val="24"/>
          <w:szCs w:val="24"/>
        </w:rPr>
        <w:t>，同时，要求提供相关证明材料的必须按要求提供</w:t>
      </w:r>
      <w:r>
        <w:rPr>
          <w:rFonts w:ascii="Times New Roman" w:hAnsi="Times New Roman" w:eastAsia="宋体"/>
          <w:color w:val="auto"/>
          <w:sz w:val="24"/>
          <w:szCs w:val="24"/>
        </w:rPr>
        <w:t>。如有缺漏，缺漏项视同不符合招标要求。投标人响应须按货物或服务实际数据填写，不能完全复制招标要求；响应含糊不清、不确切或伪造、变造证明材料的，按照不完全响应或者完全不响应处理。经查证，投标人提供虚假材料的，移送监管部门查处。</w:t>
      </w:r>
    </w:p>
    <w:p w14:paraId="1B9EBFC8">
      <w:pPr>
        <w:pStyle w:val="56"/>
        <w:spacing w:line="276" w:lineRule="auto"/>
        <w:ind w:firstLine="0" w:firstLineChars="0"/>
        <w:jc w:val="left"/>
        <w:rPr>
          <w:rFonts w:ascii="Times New Roman" w:hAnsi="Times New Roman" w:eastAsia="宋体"/>
          <w:color w:val="auto"/>
          <w:sz w:val="24"/>
          <w:szCs w:val="24"/>
        </w:rPr>
      </w:pPr>
    </w:p>
    <w:p w14:paraId="54426434">
      <w:pPr>
        <w:pStyle w:val="56"/>
        <w:spacing w:line="276" w:lineRule="auto"/>
        <w:ind w:firstLine="0" w:firstLineChars="0"/>
        <w:jc w:val="left"/>
        <w:rPr>
          <w:rFonts w:ascii="Times New Roman" w:hAnsi="Times New Roman" w:eastAsia="宋体"/>
          <w:color w:val="auto"/>
          <w:sz w:val="24"/>
          <w:szCs w:val="24"/>
        </w:rPr>
      </w:pPr>
    </w:p>
    <w:p w14:paraId="15B2E76C">
      <w:pPr>
        <w:spacing w:line="276" w:lineRule="auto"/>
        <w:rPr>
          <w:color w:val="auto"/>
          <w:sz w:val="24"/>
        </w:rPr>
      </w:pPr>
      <w:r>
        <w:rPr>
          <w:color w:val="auto"/>
          <w:sz w:val="24"/>
        </w:rPr>
        <w:t>投标人名称：</w:t>
      </w:r>
      <w:r>
        <w:rPr>
          <w:color w:val="auto"/>
          <w:sz w:val="24"/>
          <w:u w:val="single"/>
        </w:rPr>
        <w:t xml:space="preserve">             </w:t>
      </w:r>
      <w:r>
        <w:rPr>
          <w:color w:val="auto"/>
          <w:sz w:val="24"/>
        </w:rPr>
        <w:t>（盖章）</w:t>
      </w:r>
    </w:p>
    <w:p w14:paraId="6ABC9267">
      <w:pPr>
        <w:spacing w:line="276" w:lineRule="auto"/>
        <w:rPr>
          <w:color w:val="auto"/>
          <w:sz w:val="24"/>
        </w:rPr>
      </w:pPr>
    </w:p>
    <w:p w14:paraId="573149E0">
      <w:pPr>
        <w:spacing w:line="276" w:lineRule="auto"/>
        <w:rPr>
          <w:color w:val="auto"/>
          <w:sz w:val="24"/>
        </w:rPr>
      </w:pPr>
      <w:r>
        <w:rPr>
          <w:color w:val="auto"/>
          <w:sz w:val="24"/>
        </w:rPr>
        <w:t>投标人代表：</w:t>
      </w:r>
      <w:r>
        <w:rPr>
          <w:color w:val="auto"/>
          <w:sz w:val="24"/>
          <w:u w:val="single"/>
        </w:rPr>
        <w:t xml:space="preserve">             </w:t>
      </w:r>
      <w:r>
        <w:rPr>
          <w:color w:val="auto"/>
          <w:sz w:val="24"/>
        </w:rPr>
        <w:t>（签名或盖章）</w:t>
      </w:r>
    </w:p>
    <w:p w14:paraId="18F6AF41">
      <w:pPr>
        <w:spacing w:line="276" w:lineRule="auto"/>
        <w:rPr>
          <w:color w:val="auto"/>
          <w:sz w:val="24"/>
        </w:rPr>
      </w:pPr>
    </w:p>
    <w:p w14:paraId="2E492564">
      <w:pPr>
        <w:spacing w:line="276" w:lineRule="auto"/>
        <w:rPr>
          <w:rFonts w:ascii="仿宋_GB2312" w:hAnsi="宋体" w:eastAsia="仿宋_GB2312"/>
          <w:b/>
          <w:color w:val="auto"/>
          <w:sz w:val="24"/>
        </w:rPr>
      </w:pPr>
      <w:r>
        <w:rPr>
          <w:color w:val="auto"/>
          <w:sz w:val="24"/>
        </w:rPr>
        <w:t>日      期：</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p w14:paraId="5E708D03">
      <w:pPr>
        <w:spacing w:line="360" w:lineRule="auto"/>
        <w:ind w:right="-1801" w:firstLine="3795" w:firstLineChars="1350"/>
        <w:rPr>
          <w:rFonts w:ascii="仿宋_GB2312" w:hAnsi="宋体" w:eastAsia="仿宋_GB2312"/>
          <w:b/>
          <w:color w:val="auto"/>
          <w:sz w:val="28"/>
        </w:rPr>
      </w:pPr>
    </w:p>
    <w:p w14:paraId="7830A3C9">
      <w:pPr>
        <w:rPr>
          <w:rFonts w:ascii="黑体" w:hAnsi="黑体" w:eastAsia="黑体"/>
          <w:color w:val="auto"/>
          <w:sz w:val="32"/>
          <w:szCs w:val="32"/>
        </w:rPr>
      </w:pPr>
    </w:p>
    <w:sectPr>
      <w:footerReference r:id="rId5" w:type="default"/>
      <w:footerReference r:id="rId6" w:type="even"/>
      <w:pgSz w:w="11907" w:h="16840"/>
      <w:pgMar w:top="1247" w:right="1134" w:bottom="1247" w:left="1134" w:header="964"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3">
    <w:panose1 w:val="050401020108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A688B">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3</w:t>
    </w:r>
    <w:r>
      <w:rPr>
        <w:rStyle w:val="27"/>
      </w:rPr>
      <w:fldChar w:fldCharType="end"/>
    </w:r>
  </w:p>
  <w:p w14:paraId="490B34F0">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6AF38">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14:paraId="38874A75">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BC276">
    <w:pPr>
      <w:pStyle w:val="16"/>
      <w:framePr w:wrap="around" w:vAnchor="text" w:hAnchor="page" w:x="5791" w:y="-118"/>
      <w:rPr>
        <w:rStyle w:val="27"/>
      </w:rPr>
    </w:pPr>
    <w:r>
      <w:rPr>
        <w:rStyle w:val="27"/>
      </w:rPr>
      <w:fldChar w:fldCharType="begin"/>
    </w:r>
    <w:r>
      <w:rPr>
        <w:rStyle w:val="27"/>
      </w:rPr>
      <w:instrText xml:space="preserve">PAGE  </w:instrText>
    </w:r>
    <w:r>
      <w:rPr>
        <w:rStyle w:val="27"/>
      </w:rPr>
      <w:fldChar w:fldCharType="separate"/>
    </w:r>
    <w:r>
      <w:rPr>
        <w:rStyle w:val="27"/>
      </w:rPr>
      <w:t>8</w:t>
    </w:r>
    <w:r>
      <w:rPr>
        <w:rStyle w:val="27"/>
      </w:rPr>
      <w:fldChar w:fldCharType="end"/>
    </w:r>
  </w:p>
  <w:p w14:paraId="05C890B0">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61EC">
    <w:pPr>
      <w:pStyle w:val="16"/>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14:paraId="146A6BEA">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0483A"/>
    <w:multiLevelType w:val="multilevel"/>
    <w:tmpl w:val="0F30483A"/>
    <w:lvl w:ilvl="0" w:tentative="0">
      <w:start w:val="2"/>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1">
    <w:nsid w:val="4CCF56F6"/>
    <w:multiLevelType w:val="multilevel"/>
    <w:tmpl w:val="4CCF56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CE319A"/>
    <w:multiLevelType w:val="multilevel"/>
    <w:tmpl w:val="50CE31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C84B2E"/>
    <w:multiLevelType w:val="singleLevel"/>
    <w:tmpl w:val="7DC84B2E"/>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89"/>
  <w:drawingGridVerticalSpacing w:val="117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MzJiNTIzNjUyODk1ZjA0OWEwMmNjNjRmYmUzYjEifQ=="/>
  </w:docVars>
  <w:rsids>
    <w:rsidRoot w:val="00E0792E"/>
    <w:rsid w:val="000035CF"/>
    <w:rsid w:val="00004C55"/>
    <w:rsid w:val="00005021"/>
    <w:rsid w:val="000057F0"/>
    <w:rsid w:val="00006810"/>
    <w:rsid w:val="000108C9"/>
    <w:rsid w:val="000116D8"/>
    <w:rsid w:val="00011E17"/>
    <w:rsid w:val="00012F0B"/>
    <w:rsid w:val="00014317"/>
    <w:rsid w:val="00015668"/>
    <w:rsid w:val="00015AB9"/>
    <w:rsid w:val="000169D3"/>
    <w:rsid w:val="000170BC"/>
    <w:rsid w:val="00020292"/>
    <w:rsid w:val="000209A8"/>
    <w:rsid w:val="00022A63"/>
    <w:rsid w:val="000238FC"/>
    <w:rsid w:val="00023B7F"/>
    <w:rsid w:val="00026760"/>
    <w:rsid w:val="00031085"/>
    <w:rsid w:val="0003134D"/>
    <w:rsid w:val="00032175"/>
    <w:rsid w:val="000347BF"/>
    <w:rsid w:val="00034CB3"/>
    <w:rsid w:val="00034E6D"/>
    <w:rsid w:val="00037E96"/>
    <w:rsid w:val="000400D4"/>
    <w:rsid w:val="00043B74"/>
    <w:rsid w:val="00043D3F"/>
    <w:rsid w:val="00043F8F"/>
    <w:rsid w:val="00044D75"/>
    <w:rsid w:val="000453B3"/>
    <w:rsid w:val="000455A6"/>
    <w:rsid w:val="000460FF"/>
    <w:rsid w:val="000467E7"/>
    <w:rsid w:val="00046C7A"/>
    <w:rsid w:val="00046E5E"/>
    <w:rsid w:val="00047A47"/>
    <w:rsid w:val="00051A76"/>
    <w:rsid w:val="00051C7D"/>
    <w:rsid w:val="00051F22"/>
    <w:rsid w:val="0005273C"/>
    <w:rsid w:val="00052A02"/>
    <w:rsid w:val="00055E38"/>
    <w:rsid w:val="000621DA"/>
    <w:rsid w:val="00062FB0"/>
    <w:rsid w:val="00063B2C"/>
    <w:rsid w:val="000662A5"/>
    <w:rsid w:val="00066383"/>
    <w:rsid w:val="00066624"/>
    <w:rsid w:val="00066D01"/>
    <w:rsid w:val="00067EFD"/>
    <w:rsid w:val="000701FD"/>
    <w:rsid w:val="000706FA"/>
    <w:rsid w:val="00071F40"/>
    <w:rsid w:val="0007372C"/>
    <w:rsid w:val="00073DB0"/>
    <w:rsid w:val="00075549"/>
    <w:rsid w:val="00076821"/>
    <w:rsid w:val="000768CE"/>
    <w:rsid w:val="0007719F"/>
    <w:rsid w:val="00077B00"/>
    <w:rsid w:val="00077FDF"/>
    <w:rsid w:val="000823ED"/>
    <w:rsid w:val="00082A19"/>
    <w:rsid w:val="00082EA9"/>
    <w:rsid w:val="00083167"/>
    <w:rsid w:val="00083798"/>
    <w:rsid w:val="00083F62"/>
    <w:rsid w:val="00086158"/>
    <w:rsid w:val="0008648D"/>
    <w:rsid w:val="00086A7B"/>
    <w:rsid w:val="000923E4"/>
    <w:rsid w:val="000931B4"/>
    <w:rsid w:val="0009323A"/>
    <w:rsid w:val="000939F3"/>
    <w:rsid w:val="00095BE6"/>
    <w:rsid w:val="00096263"/>
    <w:rsid w:val="00096EA8"/>
    <w:rsid w:val="000976CD"/>
    <w:rsid w:val="000978A9"/>
    <w:rsid w:val="000A0C37"/>
    <w:rsid w:val="000A3C60"/>
    <w:rsid w:val="000A5D1F"/>
    <w:rsid w:val="000A6080"/>
    <w:rsid w:val="000A749E"/>
    <w:rsid w:val="000A7793"/>
    <w:rsid w:val="000B0047"/>
    <w:rsid w:val="000B04F4"/>
    <w:rsid w:val="000B0EAB"/>
    <w:rsid w:val="000B155A"/>
    <w:rsid w:val="000B15B4"/>
    <w:rsid w:val="000B2367"/>
    <w:rsid w:val="000B2380"/>
    <w:rsid w:val="000B26E1"/>
    <w:rsid w:val="000B3B57"/>
    <w:rsid w:val="000B5679"/>
    <w:rsid w:val="000B69EC"/>
    <w:rsid w:val="000B6E97"/>
    <w:rsid w:val="000C1521"/>
    <w:rsid w:val="000C3509"/>
    <w:rsid w:val="000C3707"/>
    <w:rsid w:val="000C430D"/>
    <w:rsid w:val="000C4EF4"/>
    <w:rsid w:val="000C5570"/>
    <w:rsid w:val="000C610F"/>
    <w:rsid w:val="000C70D9"/>
    <w:rsid w:val="000C74DD"/>
    <w:rsid w:val="000C75A4"/>
    <w:rsid w:val="000D0783"/>
    <w:rsid w:val="000D22F5"/>
    <w:rsid w:val="000D2D9A"/>
    <w:rsid w:val="000D3345"/>
    <w:rsid w:val="000D513E"/>
    <w:rsid w:val="000D5267"/>
    <w:rsid w:val="000D640D"/>
    <w:rsid w:val="000E0429"/>
    <w:rsid w:val="000E21BA"/>
    <w:rsid w:val="000E3B6B"/>
    <w:rsid w:val="000E44FF"/>
    <w:rsid w:val="000E4C7D"/>
    <w:rsid w:val="000E4D47"/>
    <w:rsid w:val="000E6BED"/>
    <w:rsid w:val="000E7821"/>
    <w:rsid w:val="000F0072"/>
    <w:rsid w:val="000F0925"/>
    <w:rsid w:val="000F0B63"/>
    <w:rsid w:val="000F1C53"/>
    <w:rsid w:val="000F30F4"/>
    <w:rsid w:val="000F345A"/>
    <w:rsid w:val="000F3618"/>
    <w:rsid w:val="000F3FCE"/>
    <w:rsid w:val="000F5AD3"/>
    <w:rsid w:val="000F67EC"/>
    <w:rsid w:val="000F715A"/>
    <w:rsid w:val="00101D18"/>
    <w:rsid w:val="00101EB3"/>
    <w:rsid w:val="00104304"/>
    <w:rsid w:val="00105DD2"/>
    <w:rsid w:val="0010677B"/>
    <w:rsid w:val="00106D58"/>
    <w:rsid w:val="001071C6"/>
    <w:rsid w:val="001072BD"/>
    <w:rsid w:val="001079FF"/>
    <w:rsid w:val="00110015"/>
    <w:rsid w:val="00110732"/>
    <w:rsid w:val="00112DBE"/>
    <w:rsid w:val="00113340"/>
    <w:rsid w:val="00113906"/>
    <w:rsid w:val="00113ECE"/>
    <w:rsid w:val="001141A4"/>
    <w:rsid w:val="00114F18"/>
    <w:rsid w:val="00117D29"/>
    <w:rsid w:val="00120F06"/>
    <w:rsid w:val="001237A3"/>
    <w:rsid w:val="001238F7"/>
    <w:rsid w:val="00124E4A"/>
    <w:rsid w:val="00124FBD"/>
    <w:rsid w:val="00125E2C"/>
    <w:rsid w:val="0013046B"/>
    <w:rsid w:val="001307ED"/>
    <w:rsid w:val="00131016"/>
    <w:rsid w:val="001317D7"/>
    <w:rsid w:val="0013421D"/>
    <w:rsid w:val="00136047"/>
    <w:rsid w:val="001363A2"/>
    <w:rsid w:val="0013752D"/>
    <w:rsid w:val="00140AD6"/>
    <w:rsid w:val="00141644"/>
    <w:rsid w:val="00142B7B"/>
    <w:rsid w:val="0014331B"/>
    <w:rsid w:val="001440CA"/>
    <w:rsid w:val="001445D2"/>
    <w:rsid w:val="0014495C"/>
    <w:rsid w:val="00144CFE"/>
    <w:rsid w:val="0014612F"/>
    <w:rsid w:val="00146CC7"/>
    <w:rsid w:val="00147049"/>
    <w:rsid w:val="00151942"/>
    <w:rsid w:val="00151DC1"/>
    <w:rsid w:val="00154C9A"/>
    <w:rsid w:val="00155448"/>
    <w:rsid w:val="001574C5"/>
    <w:rsid w:val="00157B2B"/>
    <w:rsid w:val="00160A73"/>
    <w:rsid w:val="001612AB"/>
    <w:rsid w:val="0016148C"/>
    <w:rsid w:val="0016233F"/>
    <w:rsid w:val="00162CBA"/>
    <w:rsid w:val="00165859"/>
    <w:rsid w:val="00166AD7"/>
    <w:rsid w:val="0017002D"/>
    <w:rsid w:val="00171E67"/>
    <w:rsid w:val="001724CF"/>
    <w:rsid w:val="001726E5"/>
    <w:rsid w:val="00173181"/>
    <w:rsid w:val="001749F8"/>
    <w:rsid w:val="00175B83"/>
    <w:rsid w:val="00175DDD"/>
    <w:rsid w:val="00176D42"/>
    <w:rsid w:val="0017751C"/>
    <w:rsid w:val="00180358"/>
    <w:rsid w:val="001821C9"/>
    <w:rsid w:val="001822F0"/>
    <w:rsid w:val="0018240F"/>
    <w:rsid w:val="00184127"/>
    <w:rsid w:val="00184632"/>
    <w:rsid w:val="00184EF7"/>
    <w:rsid w:val="00185189"/>
    <w:rsid w:val="00185B9B"/>
    <w:rsid w:val="0018622D"/>
    <w:rsid w:val="0018777C"/>
    <w:rsid w:val="00187F65"/>
    <w:rsid w:val="00190D64"/>
    <w:rsid w:val="00192090"/>
    <w:rsid w:val="00192D30"/>
    <w:rsid w:val="00193FB5"/>
    <w:rsid w:val="001957DB"/>
    <w:rsid w:val="00195FCA"/>
    <w:rsid w:val="00196BED"/>
    <w:rsid w:val="0019714E"/>
    <w:rsid w:val="001A0269"/>
    <w:rsid w:val="001A029D"/>
    <w:rsid w:val="001A03AD"/>
    <w:rsid w:val="001A1D74"/>
    <w:rsid w:val="001A237C"/>
    <w:rsid w:val="001A46B5"/>
    <w:rsid w:val="001A6704"/>
    <w:rsid w:val="001A676E"/>
    <w:rsid w:val="001A6EA9"/>
    <w:rsid w:val="001A79A4"/>
    <w:rsid w:val="001B04BC"/>
    <w:rsid w:val="001B102D"/>
    <w:rsid w:val="001B15FD"/>
    <w:rsid w:val="001B1F05"/>
    <w:rsid w:val="001B20F7"/>
    <w:rsid w:val="001B2443"/>
    <w:rsid w:val="001B259F"/>
    <w:rsid w:val="001B4236"/>
    <w:rsid w:val="001B45C8"/>
    <w:rsid w:val="001B55EB"/>
    <w:rsid w:val="001B62D6"/>
    <w:rsid w:val="001C05C8"/>
    <w:rsid w:val="001C148F"/>
    <w:rsid w:val="001C1DEC"/>
    <w:rsid w:val="001C1F52"/>
    <w:rsid w:val="001C463F"/>
    <w:rsid w:val="001C60C3"/>
    <w:rsid w:val="001C740F"/>
    <w:rsid w:val="001D06EE"/>
    <w:rsid w:val="001D10ED"/>
    <w:rsid w:val="001D1550"/>
    <w:rsid w:val="001D28C8"/>
    <w:rsid w:val="001D2D3B"/>
    <w:rsid w:val="001D4B9A"/>
    <w:rsid w:val="001D52FF"/>
    <w:rsid w:val="001D629E"/>
    <w:rsid w:val="001D6515"/>
    <w:rsid w:val="001E0711"/>
    <w:rsid w:val="001E100B"/>
    <w:rsid w:val="001E1243"/>
    <w:rsid w:val="001E1815"/>
    <w:rsid w:val="001E2E00"/>
    <w:rsid w:val="001E30EA"/>
    <w:rsid w:val="001E36A0"/>
    <w:rsid w:val="001E50EC"/>
    <w:rsid w:val="001E63CA"/>
    <w:rsid w:val="001E7002"/>
    <w:rsid w:val="001E73F8"/>
    <w:rsid w:val="001E7907"/>
    <w:rsid w:val="001F06AA"/>
    <w:rsid w:val="001F12F6"/>
    <w:rsid w:val="001F24BD"/>
    <w:rsid w:val="001F33E4"/>
    <w:rsid w:val="001F7ACB"/>
    <w:rsid w:val="001F7F58"/>
    <w:rsid w:val="00200F9E"/>
    <w:rsid w:val="0020156D"/>
    <w:rsid w:val="00201774"/>
    <w:rsid w:val="00201856"/>
    <w:rsid w:val="00201A28"/>
    <w:rsid w:val="0020471A"/>
    <w:rsid w:val="002048E1"/>
    <w:rsid w:val="00206DD5"/>
    <w:rsid w:val="002071DC"/>
    <w:rsid w:val="00207917"/>
    <w:rsid w:val="00210658"/>
    <w:rsid w:val="00210ABA"/>
    <w:rsid w:val="00211899"/>
    <w:rsid w:val="00212C22"/>
    <w:rsid w:val="00213991"/>
    <w:rsid w:val="002158D4"/>
    <w:rsid w:val="00215B39"/>
    <w:rsid w:val="002179A1"/>
    <w:rsid w:val="0022070F"/>
    <w:rsid w:val="00220A6E"/>
    <w:rsid w:val="002219A5"/>
    <w:rsid w:val="002232A6"/>
    <w:rsid w:val="00226AA8"/>
    <w:rsid w:val="002277E3"/>
    <w:rsid w:val="0023057C"/>
    <w:rsid w:val="00230BBF"/>
    <w:rsid w:val="00231EA2"/>
    <w:rsid w:val="00234ECB"/>
    <w:rsid w:val="002353E9"/>
    <w:rsid w:val="00235AF9"/>
    <w:rsid w:val="002365AF"/>
    <w:rsid w:val="00244338"/>
    <w:rsid w:val="002447AB"/>
    <w:rsid w:val="00244D84"/>
    <w:rsid w:val="002465B5"/>
    <w:rsid w:val="00250589"/>
    <w:rsid w:val="00252008"/>
    <w:rsid w:val="0025207B"/>
    <w:rsid w:val="00252997"/>
    <w:rsid w:val="00252F0A"/>
    <w:rsid w:val="00253047"/>
    <w:rsid w:val="00254C49"/>
    <w:rsid w:val="002550D3"/>
    <w:rsid w:val="002558FB"/>
    <w:rsid w:val="0025679E"/>
    <w:rsid w:val="00256C76"/>
    <w:rsid w:val="0025753E"/>
    <w:rsid w:val="00261BD4"/>
    <w:rsid w:val="00261EB2"/>
    <w:rsid w:val="002626CA"/>
    <w:rsid w:val="00262F35"/>
    <w:rsid w:val="00263C92"/>
    <w:rsid w:val="002645EF"/>
    <w:rsid w:val="002647BC"/>
    <w:rsid w:val="00265701"/>
    <w:rsid w:val="00265834"/>
    <w:rsid w:val="00266CD2"/>
    <w:rsid w:val="00267311"/>
    <w:rsid w:val="00271566"/>
    <w:rsid w:val="00271FE7"/>
    <w:rsid w:val="002727D1"/>
    <w:rsid w:val="00273192"/>
    <w:rsid w:val="00273674"/>
    <w:rsid w:val="002736C8"/>
    <w:rsid w:val="00273A23"/>
    <w:rsid w:val="00273A8A"/>
    <w:rsid w:val="00273E7A"/>
    <w:rsid w:val="00274186"/>
    <w:rsid w:val="0027661B"/>
    <w:rsid w:val="002769D5"/>
    <w:rsid w:val="00276B39"/>
    <w:rsid w:val="00276CBA"/>
    <w:rsid w:val="00276E56"/>
    <w:rsid w:val="002777CE"/>
    <w:rsid w:val="002803C2"/>
    <w:rsid w:val="00280AFF"/>
    <w:rsid w:val="00280C88"/>
    <w:rsid w:val="00281773"/>
    <w:rsid w:val="00282374"/>
    <w:rsid w:val="00283630"/>
    <w:rsid w:val="0028461F"/>
    <w:rsid w:val="00284B28"/>
    <w:rsid w:val="00285031"/>
    <w:rsid w:val="00285D2D"/>
    <w:rsid w:val="00285F4B"/>
    <w:rsid w:val="00286C3D"/>
    <w:rsid w:val="00286D7B"/>
    <w:rsid w:val="00287F0A"/>
    <w:rsid w:val="002903E0"/>
    <w:rsid w:val="002908BB"/>
    <w:rsid w:val="00291602"/>
    <w:rsid w:val="00292526"/>
    <w:rsid w:val="002926D8"/>
    <w:rsid w:val="00293A17"/>
    <w:rsid w:val="00295583"/>
    <w:rsid w:val="002A052A"/>
    <w:rsid w:val="002A1165"/>
    <w:rsid w:val="002A190B"/>
    <w:rsid w:val="002A19A0"/>
    <w:rsid w:val="002A24E9"/>
    <w:rsid w:val="002A44C5"/>
    <w:rsid w:val="002A5385"/>
    <w:rsid w:val="002B0D52"/>
    <w:rsid w:val="002B1803"/>
    <w:rsid w:val="002B1B7B"/>
    <w:rsid w:val="002B2D5F"/>
    <w:rsid w:val="002B4E8B"/>
    <w:rsid w:val="002B5600"/>
    <w:rsid w:val="002B5BC8"/>
    <w:rsid w:val="002B5E03"/>
    <w:rsid w:val="002B7552"/>
    <w:rsid w:val="002B7650"/>
    <w:rsid w:val="002B7BCE"/>
    <w:rsid w:val="002C3BF9"/>
    <w:rsid w:val="002C4CF2"/>
    <w:rsid w:val="002C564D"/>
    <w:rsid w:val="002C66C3"/>
    <w:rsid w:val="002D143A"/>
    <w:rsid w:val="002D1508"/>
    <w:rsid w:val="002D22BE"/>
    <w:rsid w:val="002D26E7"/>
    <w:rsid w:val="002D2B29"/>
    <w:rsid w:val="002D3B60"/>
    <w:rsid w:val="002D4AC2"/>
    <w:rsid w:val="002D4D31"/>
    <w:rsid w:val="002D6887"/>
    <w:rsid w:val="002D6FA8"/>
    <w:rsid w:val="002D748B"/>
    <w:rsid w:val="002E0F8B"/>
    <w:rsid w:val="002E160F"/>
    <w:rsid w:val="002E25F0"/>
    <w:rsid w:val="002E409B"/>
    <w:rsid w:val="002E58DC"/>
    <w:rsid w:val="002E6099"/>
    <w:rsid w:val="002E7CEF"/>
    <w:rsid w:val="002F069F"/>
    <w:rsid w:val="002F1488"/>
    <w:rsid w:val="002F2DFE"/>
    <w:rsid w:val="002F354E"/>
    <w:rsid w:val="002F5D9D"/>
    <w:rsid w:val="002F7B36"/>
    <w:rsid w:val="002F7DE2"/>
    <w:rsid w:val="002F7F4D"/>
    <w:rsid w:val="003013A8"/>
    <w:rsid w:val="00301AB2"/>
    <w:rsid w:val="00302DDA"/>
    <w:rsid w:val="00302E2E"/>
    <w:rsid w:val="003042F3"/>
    <w:rsid w:val="00304614"/>
    <w:rsid w:val="00304E2A"/>
    <w:rsid w:val="003050E1"/>
    <w:rsid w:val="003064A8"/>
    <w:rsid w:val="00306C96"/>
    <w:rsid w:val="00314B12"/>
    <w:rsid w:val="003158A6"/>
    <w:rsid w:val="00316042"/>
    <w:rsid w:val="00317765"/>
    <w:rsid w:val="00320859"/>
    <w:rsid w:val="00320A65"/>
    <w:rsid w:val="00321E23"/>
    <w:rsid w:val="00321FE8"/>
    <w:rsid w:val="00322C91"/>
    <w:rsid w:val="00325A88"/>
    <w:rsid w:val="00326941"/>
    <w:rsid w:val="00326E91"/>
    <w:rsid w:val="00327978"/>
    <w:rsid w:val="00330068"/>
    <w:rsid w:val="003309C1"/>
    <w:rsid w:val="00332F2D"/>
    <w:rsid w:val="00333F59"/>
    <w:rsid w:val="003344CD"/>
    <w:rsid w:val="003367A8"/>
    <w:rsid w:val="003406A4"/>
    <w:rsid w:val="003408FF"/>
    <w:rsid w:val="00341ED9"/>
    <w:rsid w:val="00342675"/>
    <w:rsid w:val="00342762"/>
    <w:rsid w:val="00344D0E"/>
    <w:rsid w:val="00345ECB"/>
    <w:rsid w:val="00346FDF"/>
    <w:rsid w:val="00347C82"/>
    <w:rsid w:val="00347DF2"/>
    <w:rsid w:val="0035050D"/>
    <w:rsid w:val="00351D6E"/>
    <w:rsid w:val="00351E04"/>
    <w:rsid w:val="003523BE"/>
    <w:rsid w:val="00353067"/>
    <w:rsid w:val="00353C0E"/>
    <w:rsid w:val="00353F32"/>
    <w:rsid w:val="00354A87"/>
    <w:rsid w:val="00355966"/>
    <w:rsid w:val="003559EF"/>
    <w:rsid w:val="00356639"/>
    <w:rsid w:val="00357130"/>
    <w:rsid w:val="00360062"/>
    <w:rsid w:val="00361C2C"/>
    <w:rsid w:val="00363548"/>
    <w:rsid w:val="0036588C"/>
    <w:rsid w:val="00366CB4"/>
    <w:rsid w:val="0036706D"/>
    <w:rsid w:val="0037013C"/>
    <w:rsid w:val="003703C5"/>
    <w:rsid w:val="00370525"/>
    <w:rsid w:val="003715C0"/>
    <w:rsid w:val="00371EDD"/>
    <w:rsid w:val="00372F9D"/>
    <w:rsid w:val="00373093"/>
    <w:rsid w:val="00381365"/>
    <w:rsid w:val="00382572"/>
    <w:rsid w:val="0038305D"/>
    <w:rsid w:val="00385566"/>
    <w:rsid w:val="00385792"/>
    <w:rsid w:val="003858E2"/>
    <w:rsid w:val="00385E98"/>
    <w:rsid w:val="003878D0"/>
    <w:rsid w:val="00387D0A"/>
    <w:rsid w:val="00390A06"/>
    <w:rsid w:val="003917F8"/>
    <w:rsid w:val="0039188E"/>
    <w:rsid w:val="00391B73"/>
    <w:rsid w:val="00393414"/>
    <w:rsid w:val="003936B3"/>
    <w:rsid w:val="00393A18"/>
    <w:rsid w:val="00393EF9"/>
    <w:rsid w:val="00395AE6"/>
    <w:rsid w:val="003961C9"/>
    <w:rsid w:val="003974DE"/>
    <w:rsid w:val="003A0DBB"/>
    <w:rsid w:val="003A25D1"/>
    <w:rsid w:val="003A2903"/>
    <w:rsid w:val="003A2C31"/>
    <w:rsid w:val="003A3F31"/>
    <w:rsid w:val="003A58B8"/>
    <w:rsid w:val="003B0DF1"/>
    <w:rsid w:val="003B23F0"/>
    <w:rsid w:val="003B245C"/>
    <w:rsid w:val="003B2CFD"/>
    <w:rsid w:val="003B33DB"/>
    <w:rsid w:val="003B3ACC"/>
    <w:rsid w:val="003B3F5B"/>
    <w:rsid w:val="003B732E"/>
    <w:rsid w:val="003B7B81"/>
    <w:rsid w:val="003B7D72"/>
    <w:rsid w:val="003C00C8"/>
    <w:rsid w:val="003C1D31"/>
    <w:rsid w:val="003C2A15"/>
    <w:rsid w:val="003C35DD"/>
    <w:rsid w:val="003C47BC"/>
    <w:rsid w:val="003C6084"/>
    <w:rsid w:val="003C7453"/>
    <w:rsid w:val="003D182E"/>
    <w:rsid w:val="003D2207"/>
    <w:rsid w:val="003D2347"/>
    <w:rsid w:val="003D4012"/>
    <w:rsid w:val="003D4A1F"/>
    <w:rsid w:val="003D4C13"/>
    <w:rsid w:val="003E0F0A"/>
    <w:rsid w:val="003E5098"/>
    <w:rsid w:val="003E5801"/>
    <w:rsid w:val="003E641C"/>
    <w:rsid w:val="003E6B8F"/>
    <w:rsid w:val="003E77EA"/>
    <w:rsid w:val="003F09B2"/>
    <w:rsid w:val="003F09DB"/>
    <w:rsid w:val="003F0CF5"/>
    <w:rsid w:val="003F1E8A"/>
    <w:rsid w:val="003F1F43"/>
    <w:rsid w:val="003F259C"/>
    <w:rsid w:val="003F2A97"/>
    <w:rsid w:val="003F4A0B"/>
    <w:rsid w:val="003F5CED"/>
    <w:rsid w:val="003F6148"/>
    <w:rsid w:val="003F71CE"/>
    <w:rsid w:val="003F7A16"/>
    <w:rsid w:val="003F7AC0"/>
    <w:rsid w:val="004003DD"/>
    <w:rsid w:val="00400C19"/>
    <w:rsid w:val="004017CF"/>
    <w:rsid w:val="00402678"/>
    <w:rsid w:val="00402D9B"/>
    <w:rsid w:val="004039EF"/>
    <w:rsid w:val="00404C65"/>
    <w:rsid w:val="00404D41"/>
    <w:rsid w:val="004052EA"/>
    <w:rsid w:val="00412B47"/>
    <w:rsid w:val="00412FB7"/>
    <w:rsid w:val="0041720F"/>
    <w:rsid w:val="004224CC"/>
    <w:rsid w:val="00423E4D"/>
    <w:rsid w:val="0042495C"/>
    <w:rsid w:val="00424D1F"/>
    <w:rsid w:val="004267BE"/>
    <w:rsid w:val="00427C9A"/>
    <w:rsid w:val="00430A17"/>
    <w:rsid w:val="00430D5F"/>
    <w:rsid w:val="00431A7D"/>
    <w:rsid w:val="00431CE8"/>
    <w:rsid w:val="0043292A"/>
    <w:rsid w:val="00432971"/>
    <w:rsid w:val="004331A6"/>
    <w:rsid w:val="00433444"/>
    <w:rsid w:val="00433A64"/>
    <w:rsid w:val="00434311"/>
    <w:rsid w:val="00434399"/>
    <w:rsid w:val="004344B6"/>
    <w:rsid w:val="00434BBB"/>
    <w:rsid w:val="0043539B"/>
    <w:rsid w:val="0043707F"/>
    <w:rsid w:val="00440217"/>
    <w:rsid w:val="004407DB"/>
    <w:rsid w:val="00440B1F"/>
    <w:rsid w:val="004421CA"/>
    <w:rsid w:val="00442381"/>
    <w:rsid w:val="004434A0"/>
    <w:rsid w:val="004449FC"/>
    <w:rsid w:val="004475FF"/>
    <w:rsid w:val="00451429"/>
    <w:rsid w:val="004519EE"/>
    <w:rsid w:val="00451AC9"/>
    <w:rsid w:val="00451E7E"/>
    <w:rsid w:val="00451F9A"/>
    <w:rsid w:val="00452290"/>
    <w:rsid w:val="00452FBB"/>
    <w:rsid w:val="00454CB0"/>
    <w:rsid w:val="00454CF3"/>
    <w:rsid w:val="00456636"/>
    <w:rsid w:val="00456932"/>
    <w:rsid w:val="00456C07"/>
    <w:rsid w:val="0045788F"/>
    <w:rsid w:val="00461A96"/>
    <w:rsid w:val="00462608"/>
    <w:rsid w:val="0046356D"/>
    <w:rsid w:val="00463DBD"/>
    <w:rsid w:val="00463EFE"/>
    <w:rsid w:val="004643AF"/>
    <w:rsid w:val="00464ED1"/>
    <w:rsid w:val="0046585C"/>
    <w:rsid w:val="00466A62"/>
    <w:rsid w:val="004700CE"/>
    <w:rsid w:val="00470657"/>
    <w:rsid w:val="00470944"/>
    <w:rsid w:val="00470DFA"/>
    <w:rsid w:val="004730F3"/>
    <w:rsid w:val="004751BB"/>
    <w:rsid w:val="00475AE6"/>
    <w:rsid w:val="00476B76"/>
    <w:rsid w:val="0048289E"/>
    <w:rsid w:val="00482D53"/>
    <w:rsid w:val="004831F5"/>
    <w:rsid w:val="00483F03"/>
    <w:rsid w:val="0048465E"/>
    <w:rsid w:val="00484904"/>
    <w:rsid w:val="00484B90"/>
    <w:rsid w:val="00485E27"/>
    <w:rsid w:val="004864CB"/>
    <w:rsid w:val="00486533"/>
    <w:rsid w:val="00486AB7"/>
    <w:rsid w:val="00490183"/>
    <w:rsid w:val="0049205B"/>
    <w:rsid w:val="00492482"/>
    <w:rsid w:val="004932D0"/>
    <w:rsid w:val="0049383D"/>
    <w:rsid w:val="004955C6"/>
    <w:rsid w:val="00495767"/>
    <w:rsid w:val="00495A4E"/>
    <w:rsid w:val="0049768E"/>
    <w:rsid w:val="00497695"/>
    <w:rsid w:val="004979C2"/>
    <w:rsid w:val="00497DBB"/>
    <w:rsid w:val="004A05A0"/>
    <w:rsid w:val="004A15F7"/>
    <w:rsid w:val="004A21DA"/>
    <w:rsid w:val="004A4BE9"/>
    <w:rsid w:val="004A6842"/>
    <w:rsid w:val="004A6C8C"/>
    <w:rsid w:val="004A6D7B"/>
    <w:rsid w:val="004A7430"/>
    <w:rsid w:val="004B08F9"/>
    <w:rsid w:val="004B1772"/>
    <w:rsid w:val="004B3660"/>
    <w:rsid w:val="004B5DDB"/>
    <w:rsid w:val="004B6C40"/>
    <w:rsid w:val="004C048B"/>
    <w:rsid w:val="004C0E72"/>
    <w:rsid w:val="004C2739"/>
    <w:rsid w:val="004C273F"/>
    <w:rsid w:val="004C4959"/>
    <w:rsid w:val="004C4B15"/>
    <w:rsid w:val="004C608E"/>
    <w:rsid w:val="004C6CA9"/>
    <w:rsid w:val="004D0076"/>
    <w:rsid w:val="004D27D1"/>
    <w:rsid w:val="004D440A"/>
    <w:rsid w:val="004D53F5"/>
    <w:rsid w:val="004D6736"/>
    <w:rsid w:val="004D7432"/>
    <w:rsid w:val="004E1E5C"/>
    <w:rsid w:val="004E2141"/>
    <w:rsid w:val="004E256C"/>
    <w:rsid w:val="004E4C4D"/>
    <w:rsid w:val="004E5506"/>
    <w:rsid w:val="004E692B"/>
    <w:rsid w:val="004E76B6"/>
    <w:rsid w:val="004F0280"/>
    <w:rsid w:val="004F0450"/>
    <w:rsid w:val="004F1153"/>
    <w:rsid w:val="004F13B3"/>
    <w:rsid w:val="004F16CE"/>
    <w:rsid w:val="004F18B1"/>
    <w:rsid w:val="004F1A44"/>
    <w:rsid w:val="004F321F"/>
    <w:rsid w:val="004F6F49"/>
    <w:rsid w:val="004F71A4"/>
    <w:rsid w:val="005004B1"/>
    <w:rsid w:val="00500F65"/>
    <w:rsid w:val="00501449"/>
    <w:rsid w:val="005026D4"/>
    <w:rsid w:val="00502F61"/>
    <w:rsid w:val="0050333B"/>
    <w:rsid w:val="00503A15"/>
    <w:rsid w:val="00504AD5"/>
    <w:rsid w:val="005059C9"/>
    <w:rsid w:val="00507582"/>
    <w:rsid w:val="00510661"/>
    <w:rsid w:val="005110EC"/>
    <w:rsid w:val="00511682"/>
    <w:rsid w:val="005130E0"/>
    <w:rsid w:val="00513357"/>
    <w:rsid w:val="0051356D"/>
    <w:rsid w:val="00513F98"/>
    <w:rsid w:val="0052007C"/>
    <w:rsid w:val="005200CC"/>
    <w:rsid w:val="00520C44"/>
    <w:rsid w:val="00520DBA"/>
    <w:rsid w:val="005228FB"/>
    <w:rsid w:val="00524B85"/>
    <w:rsid w:val="00524DD5"/>
    <w:rsid w:val="005272AE"/>
    <w:rsid w:val="00527A6B"/>
    <w:rsid w:val="00527F08"/>
    <w:rsid w:val="00531C77"/>
    <w:rsid w:val="00531C9C"/>
    <w:rsid w:val="005355F9"/>
    <w:rsid w:val="00535888"/>
    <w:rsid w:val="005363ED"/>
    <w:rsid w:val="00536B60"/>
    <w:rsid w:val="005372D9"/>
    <w:rsid w:val="00537C93"/>
    <w:rsid w:val="005405B3"/>
    <w:rsid w:val="0054174A"/>
    <w:rsid w:val="0054179A"/>
    <w:rsid w:val="00543A3F"/>
    <w:rsid w:val="00544BEE"/>
    <w:rsid w:val="00545939"/>
    <w:rsid w:val="00545BB6"/>
    <w:rsid w:val="005468D7"/>
    <w:rsid w:val="00546C6F"/>
    <w:rsid w:val="005472A0"/>
    <w:rsid w:val="00547C4E"/>
    <w:rsid w:val="00552A92"/>
    <w:rsid w:val="00553450"/>
    <w:rsid w:val="005551E4"/>
    <w:rsid w:val="00555CA0"/>
    <w:rsid w:val="005579FA"/>
    <w:rsid w:val="00557B82"/>
    <w:rsid w:val="00560DA0"/>
    <w:rsid w:val="005616AB"/>
    <w:rsid w:val="00562379"/>
    <w:rsid w:val="005627EA"/>
    <w:rsid w:val="00562B82"/>
    <w:rsid w:val="005636F8"/>
    <w:rsid w:val="00563FCB"/>
    <w:rsid w:val="005642CD"/>
    <w:rsid w:val="00565AF6"/>
    <w:rsid w:val="00566B81"/>
    <w:rsid w:val="00571B67"/>
    <w:rsid w:val="00571F2A"/>
    <w:rsid w:val="00572D5D"/>
    <w:rsid w:val="00574343"/>
    <w:rsid w:val="005747F9"/>
    <w:rsid w:val="00574B68"/>
    <w:rsid w:val="005755CE"/>
    <w:rsid w:val="00575CC9"/>
    <w:rsid w:val="00577933"/>
    <w:rsid w:val="00577BE5"/>
    <w:rsid w:val="00580900"/>
    <w:rsid w:val="0058131E"/>
    <w:rsid w:val="00583054"/>
    <w:rsid w:val="0058699B"/>
    <w:rsid w:val="005908C9"/>
    <w:rsid w:val="00590CFC"/>
    <w:rsid w:val="00591629"/>
    <w:rsid w:val="005934EA"/>
    <w:rsid w:val="00593540"/>
    <w:rsid w:val="005939A8"/>
    <w:rsid w:val="00595620"/>
    <w:rsid w:val="00595C80"/>
    <w:rsid w:val="00595CAD"/>
    <w:rsid w:val="00596BB8"/>
    <w:rsid w:val="00596D05"/>
    <w:rsid w:val="005972E3"/>
    <w:rsid w:val="0059761E"/>
    <w:rsid w:val="00597D8B"/>
    <w:rsid w:val="005A0FC9"/>
    <w:rsid w:val="005A1BEA"/>
    <w:rsid w:val="005A24BC"/>
    <w:rsid w:val="005A40E0"/>
    <w:rsid w:val="005A4322"/>
    <w:rsid w:val="005A5464"/>
    <w:rsid w:val="005A5F2D"/>
    <w:rsid w:val="005A7DB3"/>
    <w:rsid w:val="005B0C44"/>
    <w:rsid w:val="005B35A9"/>
    <w:rsid w:val="005B5416"/>
    <w:rsid w:val="005B566D"/>
    <w:rsid w:val="005B64DD"/>
    <w:rsid w:val="005C06DC"/>
    <w:rsid w:val="005C127F"/>
    <w:rsid w:val="005C16E1"/>
    <w:rsid w:val="005C1C8E"/>
    <w:rsid w:val="005C2930"/>
    <w:rsid w:val="005C2EC7"/>
    <w:rsid w:val="005C5613"/>
    <w:rsid w:val="005C5F9A"/>
    <w:rsid w:val="005C785D"/>
    <w:rsid w:val="005C7BF4"/>
    <w:rsid w:val="005D03ED"/>
    <w:rsid w:val="005D041A"/>
    <w:rsid w:val="005D0D03"/>
    <w:rsid w:val="005D2EE1"/>
    <w:rsid w:val="005D3985"/>
    <w:rsid w:val="005D3D13"/>
    <w:rsid w:val="005D4426"/>
    <w:rsid w:val="005D5281"/>
    <w:rsid w:val="005D5654"/>
    <w:rsid w:val="005D6374"/>
    <w:rsid w:val="005D7C08"/>
    <w:rsid w:val="005D7FD7"/>
    <w:rsid w:val="005E001E"/>
    <w:rsid w:val="005E00DD"/>
    <w:rsid w:val="005E0A3C"/>
    <w:rsid w:val="005E2B76"/>
    <w:rsid w:val="005E2CBA"/>
    <w:rsid w:val="005E30ED"/>
    <w:rsid w:val="005E448B"/>
    <w:rsid w:val="005E5089"/>
    <w:rsid w:val="005E55E5"/>
    <w:rsid w:val="005E6E35"/>
    <w:rsid w:val="005E7620"/>
    <w:rsid w:val="005E79CC"/>
    <w:rsid w:val="005E7C5A"/>
    <w:rsid w:val="005F031F"/>
    <w:rsid w:val="005F1A5D"/>
    <w:rsid w:val="005F2016"/>
    <w:rsid w:val="005F2B46"/>
    <w:rsid w:val="005F59FC"/>
    <w:rsid w:val="005F62F7"/>
    <w:rsid w:val="005F77B1"/>
    <w:rsid w:val="00600CB1"/>
    <w:rsid w:val="00600E17"/>
    <w:rsid w:val="006018DE"/>
    <w:rsid w:val="00602310"/>
    <w:rsid w:val="0060395B"/>
    <w:rsid w:val="00607B13"/>
    <w:rsid w:val="006102DC"/>
    <w:rsid w:val="00611981"/>
    <w:rsid w:val="00613288"/>
    <w:rsid w:val="00614072"/>
    <w:rsid w:val="00614EB1"/>
    <w:rsid w:val="00615302"/>
    <w:rsid w:val="00616848"/>
    <w:rsid w:val="00617F1A"/>
    <w:rsid w:val="00622FA1"/>
    <w:rsid w:val="006237F0"/>
    <w:rsid w:val="0062495B"/>
    <w:rsid w:val="0062577A"/>
    <w:rsid w:val="00627E7E"/>
    <w:rsid w:val="00630107"/>
    <w:rsid w:val="00630136"/>
    <w:rsid w:val="00630F52"/>
    <w:rsid w:val="00631669"/>
    <w:rsid w:val="00631C69"/>
    <w:rsid w:val="00632437"/>
    <w:rsid w:val="0063251C"/>
    <w:rsid w:val="006329EA"/>
    <w:rsid w:val="006334FA"/>
    <w:rsid w:val="00634360"/>
    <w:rsid w:val="006348F3"/>
    <w:rsid w:val="00634A95"/>
    <w:rsid w:val="00634CAE"/>
    <w:rsid w:val="00636125"/>
    <w:rsid w:val="006364C1"/>
    <w:rsid w:val="006368BD"/>
    <w:rsid w:val="006373E2"/>
    <w:rsid w:val="006377D9"/>
    <w:rsid w:val="00637E14"/>
    <w:rsid w:val="00640904"/>
    <w:rsid w:val="00641E26"/>
    <w:rsid w:val="00641F3C"/>
    <w:rsid w:val="0064203B"/>
    <w:rsid w:val="0064297C"/>
    <w:rsid w:val="00643136"/>
    <w:rsid w:val="00644ECE"/>
    <w:rsid w:val="006459F3"/>
    <w:rsid w:val="00645AF4"/>
    <w:rsid w:val="00647824"/>
    <w:rsid w:val="00647C78"/>
    <w:rsid w:val="00647E80"/>
    <w:rsid w:val="00650D8C"/>
    <w:rsid w:val="006526CB"/>
    <w:rsid w:val="00652EE6"/>
    <w:rsid w:val="00653BAB"/>
    <w:rsid w:val="00656B06"/>
    <w:rsid w:val="00657435"/>
    <w:rsid w:val="00657D8C"/>
    <w:rsid w:val="00660CFF"/>
    <w:rsid w:val="00663CD9"/>
    <w:rsid w:val="0066411E"/>
    <w:rsid w:val="00664884"/>
    <w:rsid w:val="006654D5"/>
    <w:rsid w:val="006659E8"/>
    <w:rsid w:val="00667099"/>
    <w:rsid w:val="00667B23"/>
    <w:rsid w:val="006706FB"/>
    <w:rsid w:val="006709F6"/>
    <w:rsid w:val="0067148C"/>
    <w:rsid w:val="00673CFF"/>
    <w:rsid w:val="006765D2"/>
    <w:rsid w:val="00676D97"/>
    <w:rsid w:val="00677E78"/>
    <w:rsid w:val="0068024B"/>
    <w:rsid w:val="00683007"/>
    <w:rsid w:val="00683BA2"/>
    <w:rsid w:val="00684954"/>
    <w:rsid w:val="00684B28"/>
    <w:rsid w:val="00686466"/>
    <w:rsid w:val="00686BF4"/>
    <w:rsid w:val="006907AD"/>
    <w:rsid w:val="00691624"/>
    <w:rsid w:val="00692A74"/>
    <w:rsid w:val="00693798"/>
    <w:rsid w:val="0069421E"/>
    <w:rsid w:val="00694761"/>
    <w:rsid w:val="006964C0"/>
    <w:rsid w:val="006A2528"/>
    <w:rsid w:val="006A2815"/>
    <w:rsid w:val="006A5FC3"/>
    <w:rsid w:val="006A6165"/>
    <w:rsid w:val="006A7626"/>
    <w:rsid w:val="006A7E0C"/>
    <w:rsid w:val="006B006D"/>
    <w:rsid w:val="006B032C"/>
    <w:rsid w:val="006B091B"/>
    <w:rsid w:val="006B242B"/>
    <w:rsid w:val="006B32E6"/>
    <w:rsid w:val="006B353A"/>
    <w:rsid w:val="006B4614"/>
    <w:rsid w:val="006B50F2"/>
    <w:rsid w:val="006B574A"/>
    <w:rsid w:val="006C0D16"/>
    <w:rsid w:val="006C0D6E"/>
    <w:rsid w:val="006C1B4D"/>
    <w:rsid w:val="006C2FFB"/>
    <w:rsid w:val="006C39CF"/>
    <w:rsid w:val="006C5D2E"/>
    <w:rsid w:val="006C6412"/>
    <w:rsid w:val="006D02FB"/>
    <w:rsid w:val="006D4907"/>
    <w:rsid w:val="006D4C1B"/>
    <w:rsid w:val="006D4EDD"/>
    <w:rsid w:val="006D5034"/>
    <w:rsid w:val="006D548D"/>
    <w:rsid w:val="006D5D3D"/>
    <w:rsid w:val="006D5E17"/>
    <w:rsid w:val="006D7253"/>
    <w:rsid w:val="006E0009"/>
    <w:rsid w:val="006E07CE"/>
    <w:rsid w:val="006E0847"/>
    <w:rsid w:val="006E1693"/>
    <w:rsid w:val="006E4A1A"/>
    <w:rsid w:val="006E5490"/>
    <w:rsid w:val="006E5C69"/>
    <w:rsid w:val="006E5CDD"/>
    <w:rsid w:val="006E6CD8"/>
    <w:rsid w:val="006E6D56"/>
    <w:rsid w:val="006F16DF"/>
    <w:rsid w:val="006F1CD6"/>
    <w:rsid w:val="006F1E6D"/>
    <w:rsid w:val="006F26FF"/>
    <w:rsid w:val="006F286C"/>
    <w:rsid w:val="006F3CBD"/>
    <w:rsid w:val="006F6F08"/>
    <w:rsid w:val="006F7F57"/>
    <w:rsid w:val="00700992"/>
    <w:rsid w:val="00701134"/>
    <w:rsid w:val="007024E8"/>
    <w:rsid w:val="007036D9"/>
    <w:rsid w:val="00704FB2"/>
    <w:rsid w:val="007063D2"/>
    <w:rsid w:val="0070671F"/>
    <w:rsid w:val="00706756"/>
    <w:rsid w:val="007071C0"/>
    <w:rsid w:val="00707AF3"/>
    <w:rsid w:val="00707B84"/>
    <w:rsid w:val="00710B86"/>
    <w:rsid w:val="00711E99"/>
    <w:rsid w:val="00712C78"/>
    <w:rsid w:val="007132CC"/>
    <w:rsid w:val="00715CFF"/>
    <w:rsid w:val="0071697E"/>
    <w:rsid w:val="00716F2E"/>
    <w:rsid w:val="00717285"/>
    <w:rsid w:val="00720826"/>
    <w:rsid w:val="00720FAA"/>
    <w:rsid w:val="007213E7"/>
    <w:rsid w:val="0072231E"/>
    <w:rsid w:val="00722523"/>
    <w:rsid w:val="007242EF"/>
    <w:rsid w:val="007243A8"/>
    <w:rsid w:val="00725154"/>
    <w:rsid w:val="0072515B"/>
    <w:rsid w:val="007254E2"/>
    <w:rsid w:val="00725C1B"/>
    <w:rsid w:val="00726EA1"/>
    <w:rsid w:val="00730647"/>
    <w:rsid w:val="00730E30"/>
    <w:rsid w:val="00731AEF"/>
    <w:rsid w:val="00733F99"/>
    <w:rsid w:val="00734F2C"/>
    <w:rsid w:val="00735AE6"/>
    <w:rsid w:val="00737270"/>
    <w:rsid w:val="00737DAB"/>
    <w:rsid w:val="00741A89"/>
    <w:rsid w:val="00741F53"/>
    <w:rsid w:val="00743895"/>
    <w:rsid w:val="007438ED"/>
    <w:rsid w:val="00744325"/>
    <w:rsid w:val="007450A2"/>
    <w:rsid w:val="00745193"/>
    <w:rsid w:val="00747111"/>
    <w:rsid w:val="00751476"/>
    <w:rsid w:val="007516A1"/>
    <w:rsid w:val="00753062"/>
    <w:rsid w:val="0075764D"/>
    <w:rsid w:val="0076027F"/>
    <w:rsid w:val="007603B6"/>
    <w:rsid w:val="00760F59"/>
    <w:rsid w:val="00761FF5"/>
    <w:rsid w:val="007628A0"/>
    <w:rsid w:val="00762FD1"/>
    <w:rsid w:val="0076415F"/>
    <w:rsid w:val="00764355"/>
    <w:rsid w:val="0076573C"/>
    <w:rsid w:val="007664A9"/>
    <w:rsid w:val="007677D0"/>
    <w:rsid w:val="00770426"/>
    <w:rsid w:val="00771362"/>
    <w:rsid w:val="00772151"/>
    <w:rsid w:val="00772472"/>
    <w:rsid w:val="00773958"/>
    <w:rsid w:val="00773A23"/>
    <w:rsid w:val="00775228"/>
    <w:rsid w:val="00775C43"/>
    <w:rsid w:val="007766CB"/>
    <w:rsid w:val="00777374"/>
    <w:rsid w:val="00777F0E"/>
    <w:rsid w:val="007805F0"/>
    <w:rsid w:val="00780A39"/>
    <w:rsid w:val="007824A6"/>
    <w:rsid w:val="007825A0"/>
    <w:rsid w:val="00784E04"/>
    <w:rsid w:val="0078639D"/>
    <w:rsid w:val="00786FB3"/>
    <w:rsid w:val="00787A7D"/>
    <w:rsid w:val="00787FE9"/>
    <w:rsid w:val="00791AF3"/>
    <w:rsid w:val="00792763"/>
    <w:rsid w:val="00792F97"/>
    <w:rsid w:val="00793CED"/>
    <w:rsid w:val="00793F7D"/>
    <w:rsid w:val="00795849"/>
    <w:rsid w:val="007A0205"/>
    <w:rsid w:val="007A2219"/>
    <w:rsid w:val="007A5227"/>
    <w:rsid w:val="007A59DA"/>
    <w:rsid w:val="007A661D"/>
    <w:rsid w:val="007B0177"/>
    <w:rsid w:val="007B0567"/>
    <w:rsid w:val="007B0F4D"/>
    <w:rsid w:val="007B1483"/>
    <w:rsid w:val="007B3099"/>
    <w:rsid w:val="007B3645"/>
    <w:rsid w:val="007B6C28"/>
    <w:rsid w:val="007B6DC9"/>
    <w:rsid w:val="007B7553"/>
    <w:rsid w:val="007C097B"/>
    <w:rsid w:val="007C1D4B"/>
    <w:rsid w:val="007C2537"/>
    <w:rsid w:val="007C29A0"/>
    <w:rsid w:val="007C3F2E"/>
    <w:rsid w:val="007C4174"/>
    <w:rsid w:val="007C5026"/>
    <w:rsid w:val="007C74DC"/>
    <w:rsid w:val="007C7C9E"/>
    <w:rsid w:val="007D040D"/>
    <w:rsid w:val="007D0592"/>
    <w:rsid w:val="007D09F5"/>
    <w:rsid w:val="007D22CC"/>
    <w:rsid w:val="007D2E73"/>
    <w:rsid w:val="007D2FEB"/>
    <w:rsid w:val="007D3600"/>
    <w:rsid w:val="007D3664"/>
    <w:rsid w:val="007D424A"/>
    <w:rsid w:val="007D4601"/>
    <w:rsid w:val="007D5AF6"/>
    <w:rsid w:val="007E05D5"/>
    <w:rsid w:val="007E16B3"/>
    <w:rsid w:val="007E19DE"/>
    <w:rsid w:val="007E2354"/>
    <w:rsid w:val="007E2AA6"/>
    <w:rsid w:val="007E5979"/>
    <w:rsid w:val="007E5A73"/>
    <w:rsid w:val="007E5ECB"/>
    <w:rsid w:val="007E6CEC"/>
    <w:rsid w:val="007F0E20"/>
    <w:rsid w:val="007F22EB"/>
    <w:rsid w:val="007F2731"/>
    <w:rsid w:val="007F2DF5"/>
    <w:rsid w:val="007F33D5"/>
    <w:rsid w:val="007F4261"/>
    <w:rsid w:val="007F4440"/>
    <w:rsid w:val="007F7240"/>
    <w:rsid w:val="007F794B"/>
    <w:rsid w:val="007F7FF0"/>
    <w:rsid w:val="0080003D"/>
    <w:rsid w:val="00800461"/>
    <w:rsid w:val="0080060E"/>
    <w:rsid w:val="008023D4"/>
    <w:rsid w:val="008029DE"/>
    <w:rsid w:val="00802D76"/>
    <w:rsid w:val="0080365A"/>
    <w:rsid w:val="008048F4"/>
    <w:rsid w:val="00805E4B"/>
    <w:rsid w:val="00807904"/>
    <w:rsid w:val="00811071"/>
    <w:rsid w:val="008115DC"/>
    <w:rsid w:val="00811DD2"/>
    <w:rsid w:val="00812B53"/>
    <w:rsid w:val="00812CCE"/>
    <w:rsid w:val="00813A06"/>
    <w:rsid w:val="00815A65"/>
    <w:rsid w:val="00821259"/>
    <w:rsid w:val="00821FCC"/>
    <w:rsid w:val="008225C6"/>
    <w:rsid w:val="008232A9"/>
    <w:rsid w:val="00823388"/>
    <w:rsid w:val="008235C1"/>
    <w:rsid w:val="00824149"/>
    <w:rsid w:val="0082610E"/>
    <w:rsid w:val="00826574"/>
    <w:rsid w:val="008305B7"/>
    <w:rsid w:val="00834BF1"/>
    <w:rsid w:val="00835836"/>
    <w:rsid w:val="00835D0B"/>
    <w:rsid w:val="00836D94"/>
    <w:rsid w:val="008379FB"/>
    <w:rsid w:val="00840A09"/>
    <w:rsid w:val="008415D5"/>
    <w:rsid w:val="00841EC8"/>
    <w:rsid w:val="0084249F"/>
    <w:rsid w:val="00844479"/>
    <w:rsid w:val="008448D3"/>
    <w:rsid w:val="00845750"/>
    <w:rsid w:val="00845966"/>
    <w:rsid w:val="00846497"/>
    <w:rsid w:val="00850C94"/>
    <w:rsid w:val="00851D8E"/>
    <w:rsid w:val="00852184"/>
    <w:rsid w:val="00853212"/>
    <w:rsid w:val="00853CB1"/>
    <w:rsid w:val="008557DA"/>
    <w:rsid w:val="008562C5"/>
    <w:rsid w:val="00856F21"/>
    <w:rsid w:val="00857C8B"/>
    <w:rsid w:val="00861FCB"/>
    <w:rsid w:val="00862031"/>
    <w:rsid w:val="00862563"/>
    <w:rsid w:val="00863210"/>
    <w:rsid w:val="0086357D"/>
    <w:rsid w:val="00864D46"/>
    <w:rsid w:val="00864DE7"/>
    <w:rsid w:val="00866CDB"/>
    <w:rsid w:val="00866E0F"/>
    <w:rsid w:val="00867678"/>
    <w:rsid w:val="0086792C"/>
    <w:rsid w:val="0087019F"/>
    <w:rsid w:val="00870352"/>
    <w:rsid w:val="00870FE2"/>
    <w:rsid w:val="00872F60"/>
    <w:rsid w:val="00874B41"/>
    <w:rsid w:val="0087518C"/>
    <w:rsid w:val="00875607"/>
    <w:rsid w:val="00880103"/>
    <w:rsid w:val="00880165"/>
    <w:rsid w:val="00880E63"/>
    <w:rsid w:val="008810F5"/>
    <w:rsid w:val="0088152A"/>
    <w:rsid w:val="00883EAA"/>
    <w:rsid w:val="00884110"/>
    <w:rsid w:val="00886155"/>
    <w:rsid w:val="00886C92"/>
    <w:rsid w:val="008871A0"/>
    <w:rsid w:val="0088783B"/>
    <w:rsid w:val="00890202"/>
    <w:rsid w:val="0089109A"/>
    <w:rsid w:val="00891281"/>
    <w:rsid w:val="008916E4"/>
    <w:rsid w:val="008928FC"/>
    <w:rsid w:val="00892B4C"/>
    <w:rsid w:val="00892D7B"/>
    <w:rsid w:val="008937CB"/>
    <w:rsid w:val="00893BD6"/>
    <w:rsid w:val="008956FD"/>
    <w:rsid w:val="00895B38"/>
    <w:rsid w:val="00895B73"/>
    <w:rsid w:val="008A0692"/>
    <w:rsid w:val="008A1CDF"/>
    <w:rsid w:val="008A2441"/>
    <w:rsid w:val="008A2859"/>
    <w:rsid w:val="008A2BFD"/>
    <w:rsid w:val="008A305C"/>
    <w:rsid w:val="008A33BD"/>
    <w:rsid w:val="008A3639"/>
    <w:rsid w:val="008A40C4"/>
    <w:rsid w:val="008A4D30"/>
    <w:rsid w:val="008A4EF3"/>
    <w:rsid w:val="008A5571"/>
    <w:rsid w:val="008A5F1B"/>
    <w:rsid w:val="008A60A8"/>
    <w:rsid w:val="008A657C"/>
    <w:rsid w:val="008A6951"/>
    <w:rsid w:val="008B398B"/>
    <w:rsid w:val="008B42D5"/>
    <w:rsid w:val="008B4386"/>
    <w:rsid w:val="008B4486"/>
    <w:rsid w:val="008B59A0"/>
    <w:rsid w:val="008B68A4"/>
    <w:rsid w:val="008C0AA9"/>
    <w:rsid w:val="008C1196"/>
    <w:rsid w:val="008C1BCC"/>
    <w:rsid w:val="008C38A0"/>
    <w:rsid w:val="008C441A"/>
    <w:rsid w:val="008C44C1"/>
    <w:rsid w:val="008C4687"/>
    <w:rsid w:val="008C48F7"/>
    <w:rsid w:val="008C640A"/>
    <w:rsid w:val="008C68C5"/>
    <w:rsid w:val="008C7973"/>
    <w:rsid w:val="008C7A95"/>
    <w:rsid w:val="008C7B3E"/>
    <w:rsid w:val="008D0861"/>
    <w:rsid w:val="008D1295"/>
    <w:rsid w:val="008D1BC6"/>
    <w:rsid w:val="008D468C"/>
    <w:rsid w:val="008D55F4"/>
    <w:rsid w:val="008D6044"/>
    <w:rsid w:val="008D6D8B"/>
    <w:rsid w:val="008D70D2"/>
    <w:rsid w:val="008D7107"/>
    <w:rsid w:val="008D7F5A"/>
    <w:rsid w:val="008E1733"/>
    <w:rsid w:val="008E19F3"/>
    <w:rsid w:val="008E1CE9"/>
    <w:rsid w:val="008E203B"/>
    <w:rsid w:val="008E3398"/>
    <w:rsid w:val="008E581C"/>
    <w:rsid w:val="008F0191"/>
    <w:rsid w:val="008F206D"/>
    <w:rsid w:val="008F20C2"/>
    <w:rsid w:val="008F221B"/>
    <w:rsid w:val="008F25BB"/>
    <w:rsid w:val="008F27A6"/>
    <w:rsid w:val="008F344E"/>
    <w:rsid w:val="008F38C0"/>
    <w:rsid w:val="008F3D90"/>
    <w:rsid w:val="008F4315"/>
    <w:rsid w:val="008F4804"/>
    <w:rsid w:val="008F4917"/>
    <w:rsid w:val="008F6010"/>
    <w:rsid w:val="008F7765"/>
    <w:rsid w:val="009009A1"/>
    <w:rsid w:val="00900CA4"/>
    <w:rsid w:val="009020A8"/>
    <w:rsid w:val="009037D1"/>
    <w:rsid w:val="00903B2C"/>
    <w:rsid w:val="00904105"/>
    <w:rsid w:val="0090493A"/>
    <w:rsid w:val="00904D5E"/>
    <w:rsid w:val="00906E2B"/>
    <w:rsid w:val="00907058"/>
    <w:rsid w:val="009108B6"/>
    <w:rsid w:val="009120E8"/>
    <w:rsid w:val="00912978"/>
    <w:rsid w:val="00915F9B"/>
    <w:rsid w:val="00916184"/>
    <w:rsid w:val="0091743D"/>
    <w:rsid w:val="009200D7"/>
    <w:rsid w:val="009219AF"/>
    <w:rsid w:val="00925A70"/>
    <w:rsid w:val="00927944"/>
    <w:rsid w:val="00931841"/>
    <w:rsid w:val="00931FBE"/>
    <w:rsid w:val="009324D6"/>
    <w:rsid w:val="00933FBE"/>
    <w:rsid w:val="00934BD4"/>
    <w:rsid w:val="0093681E"/>
    <w:rsid w:val="00936A75"/>
    <w:rsid w:val="009371B1"/>
    <w:rsid w:val="009373A3"/>
    <w:rsid w:val="0093791C"/>
    <w:rsid w:val="00941C9C"/>
    <w:rsid w:val="00943EB5"/>
    <w:rsid w:val="00944361"/>
    <w:rsid w:val="009446F9"/>
    <w:rsid w:val="009454DE"/>
    <w:rsid w:val="00945BAF"/>
    <w:rsid w:val="00950476"/>
    <w:rsid w:val="0095049F"/>
    <w:rsid w:val="00950AF6"/>
    <w:rsid w:val="00950F3E"/>
    <w:rsid w:val="009535E9"/>
    <w:rsid w:val="00955C52"/>
    <w:rsid w:val="00956621"/>
    <w:rsid w:val="00957303"/>
    <w:rsid w:val="00957834"/>
    <w:rsid w:val="00961739"/>
    <w:rsid w:val="00961900"/>
    <w:rsid w:val="00962C80"/>
    <w:rsid w:val="009636BD"/>
    <w:rsid w:val="00965318"/>
    <w:rsid w:val="009675EC"/>
    <w:rsid w:val="00967AF4"/>
    <w:rsid w:val="00972470"/>
    <w:rsid w:val="00973F36"/>
    <w:rsid w:val="00974389"/>
    <w:rsid w:val="0097475B"/>
    <w:rsid w:val="00975051"/>
    <w:rsid w:val="0097658F"/>
    <w:rsid w:val="009766EA"/>
    <w:rsid w:val="00977043"/>
    <w:rsid w:val="00977FF8"/>
    <w:rsid w:val="009803F5"/>
    <w:rsid w:val="009818B1"/>
    <w:rsid w:val="0099054F"/>
    <w:rsid w:val="009908EC"/>
    <w:rsid w:val="009919C1"/>
    <w:rsid w:val="009960CC"/>
    <w:rsid w:val="009966DC"/>
    <w:rsid w:val="00997BDD"/>
    <w:rsid w:val="009A0147"/>
    <w:rsid w:val="009A0E55"/>
    <w:rsid w:val="009A1EB1"/>
    <w:rsid w:val="009A2273"/>
    <w:rsid w:val="009A23C5"/>
    <w:rsid w:val="009A27F3"/>
    <w:rsid w:val="009A351B"/>
    <w:rsid w:val="009A3DB8"/>
    <w:rsid w:val="009A6CEE"/>
    <w:rsid w:val="009B066B"/>
    <w:rsid w:val="009B0D48"/>
    <w:rsid w:val="009B120A"/>
    <w:rsid w:val="009B2101"/>
    <w:rsid w:val="009B2427"/>
    <w:rsid w:val="009B6286"/>
    <w:rsid w:val="009B7C34"/>
    <w:rsid w:val="009C061F"/>
    <w:rsid w:val="009C0BBC"/>
    <w:rsid w:val="009C108B"/>
    <w:rsid w:val="009C13DA"/>
    <w:rsid w:val="009C1723"/>
    <w:rsid w:val="009C2BD7"/>
    <w:rsid w:val="009C4614"/>
    <w:rsid w:val="009C46E9"/>
    <w:rsid w:val="009C5683"/>
    <w:rsid w:val="009C5B39"/>
    <w:rsid w:val="009C6DB6"/>
    <w:rsid w:val="009D15F0"/>
    <w:rsid w:val="009D2B40"/>
    <w:rsid w:val="009D4EF8"/>
    <w:rsid w:val="009E1377"/>
    <w:rsid w:val="009E1AEB"/>
    <w:rsid w:val="009E283D"/>
    <w:rsid w:val="009E3599"/>
    <w:rsid w:val="009E4544"/>
    <w:rsid w:val="009E478B"/>
    <w:rsid w:val="009E5049"/>
    <w:rsid w:val="009E6619"/>
    <w:rsid w:val="009E6854"/>
    <w:rsid w:val="009E6D46"/>
    <w:rsid w:val="009E6E32"/>
    <w:rsid w:val="009F04C2"/>
    <w:rsid w:val="009F096F"/>
    <w:rsid w:val="009F14E6"/>
    <w:rsid w:val="009F17B9"/>
    <w:rsid w:val="009F3F5A"/>
    <w:rsid w:val="009F40CB"/>
    <w:rsid w:val="009F47E4"/>
    <w:rsid w:val="009F4CC7"/>
    <w:rsid w:val="009F5685"/>
    <w:rsid w:val="009F5AA5"/>
    <w:rsid w:val="009F5B17"/>
    <w:rsid w:val="009F6DCB"/>
    <w:rsid w:val="00A007BC"/>
    <w:rsid w:val="00A00C6D"/>
    <w:rsid w:val="00A015E5"/>
    <w:rsid w:val="00A01C4D"/>
    <w:rsid w:val="00A02012"/>
    <w:rsid w:val="00A024C9"/>
    <w:rsid w:val="00A046E9"/>
    <w:rsid w:val="00A04ED6"/>
    <w:rsid w:val="00A060A1"/>
    <w:rsid w:val="00A10E4D"/>
    <w:rsid w:val="00A111C1"/>
    <w:rsid w:val="00A122EA"/>
    <w:rsid w:val="00A127C9"/>
    <w:rsid w:val="00A12934"/>
    <w:rsid w:val="00A12C09"/>
    <w:rsid w:val="00A15DF7"/>
    <w:rsid w:val="00A16B6E"/>
    <w:rsid w:val="00A1745D"/>
    <w:rsid w:val="00A17A26"/>
    <w:rsid w:val="00A21B93"/>
    <w:rsid w:val="00A22C7B"/>
    <w:rsid w:val="00A236CA"/>
    <w:rsid w:val="00A23918"/>
    <w:rsid w:val="00A248B8"/>
    <w:rsid w:val="00A25047"/>
    <w:rsid w:val="00A26572"/>
    <w:rsid w:val="00A31342"/>
    <w:rsid w:val="00A31BDF"/>
    <w:rsid w:val="00A31F30"/>
    <w:rsid w:val="00A32316"/>
    <w:rsid w:val="00A32F39"/>
    <w:rsid w:val="00A35030"/>
    <w:rsid w:val="00A36BD1"/>
    <w:rsid w:val="00A36F03"/>
    <w:rsid w:val="00A40241"/>
    <w:rsid w:val="00A419FB"/>
    <w:rsid w:val="00A41CB0"/>
    <w:rsid w:val="00A42992"/>
    <w:rsid w:val="00A433C2"/>
    <w:rsid w:val="00A438D1"/>
    <w:rsid w:val="00A44251"/>
    <w:rsid w:val="00A44DBB"/>
    <w:rsid w:val="00A45068"/>
    <w:rsid w:val="00A46C83"/>
    <w:rsid w:val="00A508EA"/>
    <w:rsid w:val="00A52AA7"/>
    <w:rsid w:val="00A53073"/>
    <w:rsid w:val="00A53A54"/>
    <w:rsid w:val="00A54A74"/>
    <w:rsid w:val="00A5617E"/>
    <w:rsid w:val="00A565E2"/>
    <w:rsid w:val="00A57D23"/>
    <w:rsid w:val="00A60FDE"/>
    <w:rsid w:val="00A61083"/>
    <w:rsid w:val="00A629E1"/>
    <w:rsid w:val="00A62D7B"/>
    <w:rsid w:val="00A6630B"/>
    <w:rsid w:val="00A66967"/>
    <w:rsid w:val="00A7024C"/>
    <w:rsid w:val="00A73B52"/>
    <w:rsid w:val="00A74555"/>
    <w:rsid w:val="00A74AEF"/>
    <w:rsid w:val="00A75252"/>
    <w:rsid w:val="00A752E7"/>
    <w:rsid w:val="00A76AC8"/>
    <w:rsid w:val="00A774DC"/>
    <w:rsid w:val="00A77542"/>
    <w:rsid w:val="00A84362"/>
    <w:rsid w:val="00A86236"/>
    <w:rsid w:val="00A91093"/>
    <w:rsid w:val="00A92899"/>
    <w:rsid w:val="00A92A01"/>
    <w:rsid w:val="00A92B31"/>
    <w:rsid w:val="00A934D1"/>
    <w:rsid w:val="00A94465"/>
    <w:rsid w:val="00A94FEC"/>
    <w:rsid w:val="00A950B1"/>
    <w:rsid w:val="00A97FC8"/>
    <w:rsid w:val="00AA1031"/>
    <w:rsid w:val="00AA17E6"/>
    <w:rsid w:val="00AA1BB6"/>
    <w:rsid w:val="00AA24B0"/>
    <w:rsid w:val="00AA4BA0"/>
    <w:rsid w:val="00AA5463"/>
    <w:rsid w:val="00AA6474"/>
    <w:rsid w:val="00AA7786"/>
    <w:rsid w:val="00AB1768"/>
    <w:rsid w:val="00AB1F02"/>
    <w:rsid w:val="00AB2FA2"/>
    <w:rsid w:val="00AB40E2"/>
    <w:rsid w:val="00AB5DBA"/>
    <w:rsid w:val="00AC06A3"/>
    <w:rsid w:val="00AC22E7"/>
    <w:rsid w:val="00AC26E6"/>
    <w:rsid w:val="00AC2D34"/>
    <w:rsid w:val="00AC429C"/>
    <w:rsid w:val="00AC4C7F"/>
    <w:rsid w:val="00AC5135"/>
    <w:rsid w:val="00AC559C"/>
    <w:rsid w:val="00AC5650"/>
    <w:rsid w:val="00AD0A9C"/>
    <w:rsid w:val="00AD3F1C"/>
    <w:rsid w:val="00AD559F"/>
    <w:rsid w:val="00AD66CD"/>
    <w:rsid w:val="00AD6B11"/>
    <w:rsid w:val="00AD73E5"/>
    <w:rsid w:val="00AD753A"/>
    <w:rsid w:val="00AD7B73"/>
    <w:rsid w:val="00AE34F2"/>
    <w:rsid w:val="00AE389E"/>
    <w:rsid w:val="00AE3B1E"/>
    <w:rsid w:val="00AE4F9D"/>
    <w:rsid w:val="00AF0273"/>
    <w:rsid w:val="00AF08AD"/>
    <w:rsid w:val="00AF0D38"/>
    <w:rsid w:val="00AF151D"/>
    <w:rsid w:val="00AF196B"/>
    <w:rsid w:val="00AF1B4D"/>
    <w:rsid w:val="00AF1DBE"/>
    <w:rsid w:val="00AF2AB2"/>
    <w:rsid w:val="00AF3660"/>
    <w:rsid w:val="00AF3E97"/>
    <w:rsid w:val="00AF3F61"/>
    <w:rsid w:val="00AF43C6"/>
    <w:rsid w:val="00AF539D"/>
    <w:rsid w:val="00AF5E6C"/>
    <w:rsid w:val="00AF6BFF"/>
    <w:rsid w:val="00AF7568"/>
    <w:rsid w:val="00B000D8"/>
    <w:rsid w:val="00B00343"/>
    <w:rsid w:val="00B00BE7"/>
    <w:rsid w:val="00B01692"/>
    <w:rsid w:val="00B02E43"/>
    <w:rsid w:val="00B0351F"/>
    <w:rsid w:val="00B03F3E"/>
    <w:rsid w:val="00B04AC0"/>
    <w:rsid w:val="00B04BFA"/>
    <w:rsid w:val="00B05D39"/>
    <w:rsid w:val="00B0640D"/>
    <w:rsid w:val="00B066B3"/>
    <w:rsid w:val="00B07273"/>
    <w:rsid w:val="00B11E3B"/>
    <w:rsid w:val="00B1271A"/>
    <w:rsid w:val="00B1372C"/>
    <w:rsid w:val="00B16D39"/>
    <w:rsid w:val="00B174CB"/>
    <w:rsid w:val="00B175BF"/>
    <w:rsid w:val="00B20884"/>
    <w:rsid w:val="00B22217"/>
    <w:rsid w:val="00B22312"/>
    <w:rsid w:val="00B2275B"/>
    <w:rsid w:val="00B2291E"/>
    <w:rsid w:val="00B241FB"/>
    <w:rsid w:val="00B25BE6"/>
    <w:rsid w:val="00B25CA1"/>
    <w:rsid w:val="00B26FA9"/>
    <w:rsid w:val="00B275A8"/>
    <w:rsid w:val="00B27B32"/>
    <w:rsid w:val="00B27BE6"/>
    <w:rsid w:val="00B27CDA"/>
    <w:rsid w:val="00B27D6B"/>
    <w:rsid w:val="00B30AB2"/>
    <w:rsid w:val="00B3247F"/>
    <w:rsid w:val="00B325AB"/>
    <w:rsid w:val="00B32EDA"/>
    <w:rsid w:val="00B33B96"/>
    <w:rsid w:val="00B351C6"/>
    <w:rsid w:val="00B3521E"/>
    <w:rsid w:val="00B36DC4"/>
    <w:rsid w:val="00B402BB"/>
    <w:rsid w:val="00B407F2"/>
    <w:rsid w:val="00B40899"/>
    <w:rsid w:val="00B431C1"/>
    <w:rsid w:val="00B4329B"/>
    <w:rsid w:val="00B4339C"/>
    <w:rsid w:val="00B4699D"/>
    <w:rsid w:val="00B5167A"/>
    <w:rsid w:val="00B52DC0"/>
    <w:rsid w:val="00B5434B"/>
    <w:rsid w:val="00B550EF"/>
    <w:rsid w:val="00B55653"/>
    <w:rsid w:val="00B5605F"/>
    <w:rsid w:val="00B607C1"/>
    <w:rsid w:val="00B615C1"/>
    <w:rsid w:val="00B62E84"/>
    <w:rsid w:val="00B63223"/>
    <w:rsid w:val="00B633E0"/>
    <w:rsid w:val="00B63FA0"/>
    <w:rsid w:val="00B65977"/>
    <w:rsid w:val="00B676C1"/>
    <w:rsid w:val="00B73D07"/>
    <w:rsid w:val="00B75161"/>
    <w:rsid w:val="00B75283"/>
    <w:rsid w:val="00B754CF"/>
    <w:rsid w:val="00B754D6"/>
    <w:rsid w:val="00B76527"/>
    <w:rsid w:val="00B766DF"/>
    <w:rsid w:val="00B77041"/>
    <w:rsid w:val="00B7747B"/>
    <w:rsid w:val="00B77BD1"/>
    <w:rsid w:val="00B77D9E"/>
    <w:rsid w:val="00B80893"/>
    <w:rsid w:val="00B81699"/>
    <w:rsid w:val="00B83387"/>
    <w:rsid w:val="00B84449"/>
    <w:rsid w:val="00B87689"/>
    <w:rsid w:val="00B87CCD"/>
    <w:rsid w:val="00B90657"/>
    <w:rsid w:val="00B9176C"/>
    <w:rsid w:val="00B9255F"/>
    <w:rsid w:val="00B94541"/>
    <w:rsid w:val="00B94F7F"/>
    <w:rsid w:val="00B95066"/>
    <w:rsid w:val="00B95298"/>
    <w:rsid w:val="00B96B93"/>
    <w:rsid w:val="00B9750C"/>
    <w:rsid w:val="00BA0DDB"/>
    <w:rsid w:val="00BA1A88"/>
    <w:rsid w:val="00BA3282"/>
    <w:rsid w:val="00BA5D3C"/>
    <w:rsid w:val="00BA6D9C"/>
    <w:rsid w:val="00BB0EFD"/>
    <w:rsid w:val="00BB1390"/>
    <w:rsid w:val="00BB18A4"/>
    <w:rsid w:val="00BB4321"/>
    <w:rsid w:val="00BB4F4A"/>
    <w:rsid w:val="00BB783C"/>
    <w:rsid w:val="00BC02B0"/>
    <w:rsid w:val="00BC108D"/>
    <w:rsid w:val="00BC130A"/>
    <w:rsid w:val="00BC1505"/>
    <w:rsid w:val="00BC33F2"/>
    <w:rsid w:val="00BC48CB"/>
    <w:rsid w:val="00BC56C0"/>
    <w:rsid w:val="00BC5F5F"/>
    <w:rsid w:val="00BC5FDE"/>
    <w:rsid w:val="00BD0622"/>
    <w:rsid w:val="00BD0ABD"/>
    <w:rsid w:val="00BD19BA"/>
    <w:rsid w:val="00BD1F1B"/>
    <w:rsid w:val="00BD1F90"/>
    <w:rsid w:val="00BD37AE"/>
    <w:rsid w:val="00BD51FF"/>
    <w:rsid w:val="00BD747A"/>
    <w:rsid w:val="00BD78FD"/>
    <w:rsid w:val="00BD7D99"/>
    <w:rsid w:val="00BE02B0"/>
    <w:rsid w:val="00BE1D49"/>
    <w:rsid w:val="00BE3B0E"/>
    <w:rsid w:val="00BE3BE3"/>
    <w:rsid w:val="00BE4653"/>
    <w:rsid w:val="00BE48D4"/>
    <w:rsid w:val="00BE58B9"/>
    <w:rsid w:val="00BE7B3F"/>
    <w:rsid w:val="00BF0A9B"/>
    <w:rsid w:val="00BF1DBB"/>
    <w:rsid w:val="00BF27C5"/>
    <w:rsid w:val="00BF307B"/>
    <w:rsid w:val="00BF3BD0"/>
    <w:rsid w:val="00BF3FA8"/>
    <w:rsid w:val="00BF5168"/>
    <w:rsid w:val="00BF5FF4"/>
    <w:rsid w:val="00BF7EA5"/>
    <w:rsid w:val="00BF7F07"/>
    <w:rsid w:val="00C01099"/>
    <w:rsid w:val="00C020ED"/>
    <w:rsid w:val="00C0309C"/>
    <w:rsid w:val="00C0369E"/>
    <w:rsid w:val="00C03B9F"/>
    <w:rsid w:val="00C06D04"/>
    <w:rsid w:val="00C079C1"/>
    <w:rsid w:val="00C117D1"/>
    <w:rsid w:val="00C1682F"/>
    <w:rsid w:val="00C173CF"/>
    <w:rsid w:val="00C17BB9"/>
    <w:rsid w:val="00C20CF7"/>
    <w:rsid w:val="00C2155A"/>
    <w:rsid w:val="00C22B33"/>
    <w:rsid w:val="00C23DDB"/>
    <w:rsid w:val="00C24339"/>
    <w:rsid w:val="00C2622B"/>
    <w:rsid w:val="00C27441"/>
    <w:rsid w:val="00C30CB2"/>
    <w:rsid w:val="00C31A7B"/>
    <w:rsid w:val="00C31B4C"/>
    <w:rsid w:val="00C32A1E"/>
    <w:rsid w:val="00C32FB6"/>
    <w:rsid w:val="00C341CF"/>
    <w:rsid w:val="00C34549"/>
    <w:rsid w:val="00C4036E"/>
    <w:rsid w:val="00C41ACD"/>
    <w:rsid w:val="00C421D1"/>
    <w:rsid w:val="00C42427"/>
    <w:rsid w:val="00C426C3"/>
    <w:rsid w:val="00C4283F"/>
    <w:rsid w:val="00C44363"/>
    <w:rsid w:val="00C45817"/>
    <w:rsid w:val="00C45A72"/>
    <w:rsid w:val="00C45E4F"/>
    <w:rsid w:val="00C503F5"/>
    <w:rsid w:val="00C50A0E"/>
    <w:rsid w:val="00C50E4D"/>
    <w:rsid w:val="00C5104E"/>
    <w:rsid w:val="00C51BF4"/>
    <w:rsid w:val="00C52133"/>
    <w:rsid w:val="00C55D3F"/>
    <w:rsid w:val="00C602D3"/>
    <w:rsid w:val="00C6067C"/>
    <w:rsid w:val="00C61232"/>
    <w:rsid w:val="00C62B92"/>
    <w:rsid w:val="00C63065"/>
    <w:rsid w:val="00C66585"/>
    <w:rsid w:val="00C67198"/>
    <w:rsid w:val="00C710DD"/>
    <w:rsid w:val="00C7291B"/>
    <w:rsid w:val="00C72C80"/>
    <w:rsid w:val="00C75308"/>
    <w:rsid w:val="00C758F5"/>
    <w:rsid w:val="00C75E0A"/>
    <w:rsid w:val="00C76670"/>
    <w:rsid w:val="00C76A4E"/>
    <w:rsid w:val="00C772DC"/>
    <w:rsid w:val="00C772E6"/>
    <w:rsid w:val="00C77F7C"/>
    <w:rsid w:val="00C81329"/>
    <w:rsid w:val="00C81DAF"/>
    <w:rsid w:val="00C84749"/>
    <w:rsid w:val="00C8474D"/>
    <w:rsid w:val="00C84B9C"/>
    <w:rsid w:val="00C85849"/>
    <w:rsid w:val="00C86AA4"/>
    <w:rsid w:val="00C87746"/>
    <w:rsid w:val="00C87915"/>
    <w:rsid w:val="00C9024E"/>
    <w:rsid w:val="00C9041A"/>
    <w:rsid w:val="00C904D3"/>
    <w:rsid w:val="00C905EE"/>
    <w:rsid w:val="00C9123C"/>
    <w:rsid w:val="00C91E05"/>
    <w:rsid w:val="00C91F45"/>
    <w:rsid w:val="00C92D35"/>
    <w:rsid w:val="00C92DF0"/>
    <w:rsid w:val="00C94720"/>
    <w:rsid w:val="00C95008"/>
    <w:rsid w:val="00C95DAF"/>
    <w:rsid w:val="00C96982"/>
    <w:rsid w:val="00CA13D0"/>
    <w:rsid w:val="00CA157B"/>
    <w:rsid w:val="00CA2ED7"/>
    <w:rsid w:val="00CA3A68"/>
    <w:rsid w:val="00CA4CCA"/>
    <w:rsid w:val="00CA53BA"/>
    <w:rsid w:val="00CA5B23"/>
    <w:rsid w:val="00CA5C43"/>
    <w:rsid w:val="00CA74B5"/>
    <w:rsid w:val="00CB0511"/>
    <w:rsid w:val="00CB3B85"/>
    <w:rsid w:val="00CB3E2D"/>
    <w:rsid w:val="00CB3F4F"/>
    <w:rsid w:val="00CB4AC5"/>
    <w:rsid w:val="00CC110E"/>
    <w:rsid w:val="00CC115C"/>
    <w:rsid w:val="00CC1C74"/>
    <w:rsid w:val="00CC22F8"/>
    <w:rsid w:val="00CC2442"/>
    <w:rsid w:val="00CC26D1"/>
    <w:rsid w:val="00CC2799"/>
    <w:rsid w:val="00CC3E28"/>
    <w:rsid w:val="00CC4257"/>
    <w:rsid w:val="00CC548F"/>
    <w:rsid w:val="00CC5CF7"/>
    <w:rsid w:val="00CC6765"/>
    <w:rsid w:val="00CC71E1"/>
    <w:rsid w:val="00CD051F"/>
    <w:rsid w:val="00CD17C5"/>
    <w:rsid w:val="00CD1D90"/>
    <w:rsid w:val="00CD3D7F"/>
    <w:rsid w:val="00CD4034"/>
    <w:rsid w:val="00CD5A60"/>
    <w:rsid w:val="00CD5BE6"/>
    <w:rsid w:val="00CD6626"/>
    <w:rsid w:val="00CD6BB6"/>
    <w:rsid w:val="00CD705D"/>
    <w:rsid w:val="00CD7D3F"/>
    <w:rsid w:val="00CE1CBF"/>
    <w:rsid w:val="00CE2CF9"/>
    <w:rsid w:val="00CE35BE"/>
    <w:rsid w:val="00CE37C5"/>
    <w:rsid w:val="00CE480F"/>
    <w:rsid w:val="00CE60AB"/>
    <w:rsid w:val="00CE6C70"/>
    <w:rsid w:val="00CE7104"/>
    <w:rsid w:val="00CE789C"/>
    <w:rsid w:val="00CF0554"/>
    <w:rsid w:val="00CF08F1"/>
    <w:rsid w:val="00CF0FA4"/>
    <w:rsid w:val="00CF19C0"/>
    <w:rsid w:val="00CF2860"/>
    <w:rsid w:val="00CF4970"/>
    <w:rsid w:val="00CF4CF6"/>
    <w:rsid w:val="00CF63E5"/>
    <w:rsid w:val="00CF6EF4"/>
    <w:rsid w:val="00CF76BB"/>
    <w:rsid w:val="00CF7969"/>
    <w:rsid w:val="00D00DBA"/>
    <w:rsid w:val="00D030F4"/>
    <w:rsid w:val="00D04C3B"/>
    <w:rsid w:val="00D05EA4"/>
    <w:rsid w:val="00D0669E"/>
    <w:rsid w:val="00D07A2F"/>
    <w:rsid w:val="00D10BAB"/>
    <w:rsid w:val="00D123BD"/>
    <w:rsid w:val="00D127A1"/>
    <w:rsid w:val="00D16D0E"/>
    <w:rsid w:val="00D1738B"/>
    <w:rsid w:val="00D174B0"/>
    <w:rsid w:val="00D17A37"/>
    <w:rsid w:val="00D209E0"/>
    <w:rsid w:val="00D20BE3"/>
    <w:rsid w:val="00D2206D"/>
    <w:rsid w:val="00D22F51"/>
    <w:rsid w:val="00D2393F"/>
    <w:rsid w:val="00D23F7B"/>
    <w:rsid w:val="00D24DA9"/>
    <w:rsid w:val="00D32F41"/>
    <w:rsid w:val="00D336E9"/>
    <w:rsid w:val="00D338F6"/>
    <w:rsid w:val="00D33A27"/>
    <w:rsid w:val="00D35F51"/>
    <w:rsid w:val="00D36A5E"/>
    <w:rsid w:val="00D37C66"/>
    <w:rsid w:val="00D37D3F"/>
    <w:rsid w:val="00D441B3"/>
    <w:rsid w:val="00D44407"/>
    <w:rsid w:val="00D46443"/>
    <w:rsid w:val="00D4724E"/>
    <w:rsid w:val="00D47DB2"/>
    <w:rsid w:val="00D506BB"/>
    <w:rsid w:val="00D52FD7"/>
    <w:rsid w:val="00D53B2A"/>
    <w:rsid w:val="00D54F6D"/>
    <w:rsid w:val="00D56153"/>
    <w:rsid w:val="00D57874"/>
    <w:rsid w:val="00D579DE"/>
    <w:rsid w:val="00D60049"/>
    <w:rsid w:val="00D60B0B"/>
    <w:rsid w:val="00D61091"/>
    <w:rsid w:val="00D61698"/>
    <w:rsid w:val="00D61E57"/>
    <w:rsid w:val="00D6223C"/>
    <w:rsid w:val="00D623C5"/>
    <w:rsid w:val="00D624A7"/>
    <w:rsid w:val="00D630B2"/>
    <w:rsid w:val="00D6378B"/>
    <w:rsid w:val="00D63C6A"/>
    <w:rsid w:val="00D64DC7"/>
    <w:rsid w:val="00D679D4"/>
    <w:rsid w:val="00D67A8E"/>
    <w:rsid w:val="00D67AE7"/>
    <w:rsid w:val="00D704B0"/>
    <w:rsid w:val="00D70FEE"/>
    <w:rsid w:val="00D726A0"/>
    <w:rsid w:val="00D73301"/>
    <w:rsid w:val="00D737A2"/>
    <w:rsid w:val="00D747E3"/>
    <w:rsid w:val="00D74A30"/>
    <w:rsid w:val="00D778F9"/>
    <w:rsid w:val="00D779BE"/>
    <w:rsid w:val="00D805C0"/>
    <w:rsid w:val="00D80749"/>
    <w:rsid w:val="00D813C3"/>
    <w:rsid w:val="00D814C2"/>
    <w:rsid w:val="00D81E5C"/>
    <w:rsid w:val="00D82744"/>
    <w:rsid w:val="00D82809"/>
    <w:rsid w:val="00D82CD7"/>
    <w:rsid w:val="00D82E7E"/>
    <w:rsid w:val="00D82F1A"/>
    <w:rsid w:val="00D83B8D"/>
    <w:rsid w:val="00D84353"/>
    <w:rsid w:val="00D84483"/>
    <w:rsid w:val="00D85761"/>
    <w:rsid w:val="00D85D27"/>
    <w:rsid w:val="00D87189"/>
    <w:rsid w:val="00D871C6"/>
    <w:rsid w:val="00D90044"/>
    <w:rsid w:val="00D9045B"/>
    <w:rsid w:val="00D90BE5"/>
    <w:rsid w:val="00D93084"/>
    <w:rsid w:val="00D97379"/>
    <w:rsid w:val="00DA05D1"/>
    <w:rsid w:val="00DA1630"/>
    <w:rsid w:val="00DA304C"/>
    <w:rsid w:val="00DA3EBE"/>
    <w:rsid w:val="00DA44D9"/>
    <w:rsid w:val="00DA54BE"/>
    <w:rsid w:val="00DA6457"/>
    <w:rsid w:val="00DA6CBC"/>
    <w:rsid w:val="00DA7B70"/>
    <w:rsid w:val="00DB01F0"/>
    <w:rsid w:val="00DB164A"/>
    <w:rsid w:val="00DB3335"/>
    <w:rsid w:val="00DB3A29"/>
    <w:rsid w:val="00DB450E"/>
    <w:rsid w:val="00DB5085"/>
    <w:rsid w:val="00DB6F09"/>
    <w:rsid w:val="00DC05C8"/>
    <w:rsid w:val="00DC0654"/>
    <w:rsid w:val="00DC1B1A"/>
    <w:rsid w:val="00DC1DA1"/>
    <w:rsid w:val="00DC272D"/>
    <w:rsid w:val="00DC28E6"/>
    <w:rsid w:val="00DC2A50"/>
    <w:rsid w:val="00DC2AF7"/>
    <w:rsid w:val="00DC32E2"/>
    <w:rsid w:val="00DC434B"/>
    <w:rsid w:val="00DC62D0"/>
    <w:rsid w:val="00DC7158"/>
    <w:rsid w:val="00DD032D"/>
    <w:rsid w:val="00DD052C"/>
    <w:rsid w:val="00DD08C6"/>
    <w:rsid w:val="00DD1397"/>
    <w:rsid w:val="00DD1E5E"/>
    <w:rsid w:val="00DD3523"/>
    <w:rsid w:val="00DD37D1"/>
    <w:rsid w:val="00DD661E"/>
    <w:rsid w:val="00DD729D"/>
    <w:rsid w:val="00DD755D"/>
    <w:rsid w:val="00DD7A16"/>
    <w:rsid w:val="00DE321E"/>
    <w:rsid w:val="00DE4874"/>
    <w:rsid w:val="00DE5515"/>
    <w:rsid w:val="00DE5800"/>
    <w:rsid w:val="00DE64D7"/>
    <w:rsid w:val="00DE7E1C"/>
    <w:rsid w:val="00DE7ECC"/>
    <w:rsid w:val="00DF032C"/>
    <w:rsid w:val="00DF186F"/>
    <w:rsid w:val="00DF2861"/>
    <w:rsid w:val="00DF3C0C"/>
    <w:rsid w:val="00DF3F20"/>
    <w:rsid w:val="00DF509B"/>
    <w:rsid w:val="00DF5374"/>
    <w:rsid w:val="00DF6FAA"/>
    <w:rsid w:val="00DF739C"/>
    <w:rsid w:val="00E00694"/>
    <w:rsid w:val="00E008A0"/>
    <w:rsid w:val="00E00FE3"/>
    <w:rsid w:val="00E010AA"/>
    <w:rsid w:val="00E01CA5"/>
    <w:rsid w:val="00E020C7"/>
    <w:rsid w:val="00E0390E"/>
    <w:rsid w:val="00E041C6"/>
    <w:rsid w:val="00E05006"/>
    <w:rsid w:val="00E0752C"/>
    <w:rsid w:val="00E0792C"/>
    <w:rsid w:val="00E0792E"/>
    <w:rsid w:val="00E07EB5"/>
    <w:rsid w:val="00E111B8"/>
    <w:rsid w:val="00E12B84"/>
    <w:rsid w:val="00E13E06"/>
    <w:rsid w:val="00E14DFE"/>
    <w:rsid w:val="00E20A62"/>
    <w:rsid w:val="00E2281A"/>
    <w:rsid w:val="00E230B9"/>
    <w:rsid w:val="00E23D6F"/>
    <w:rsid w:val="00E24C3B"/>
    <w:rsid w:val="00E24CEB"/>
    <w:rsid w:val="00E25743"/>
    <w:rsid w:val="00E25F22"/>
    <w:rsid w:val="00E27015"/>
    <w:rsid w:val="00E2711C"/>
    <w:rsid w:val="00E2739C"/>
    <w:rsid w:val="00E27ED4"/>
    <w:rsid w:val="00E30531"/>
    <w:rsid w:val="00E30C15"/>
    <w:rsid w:val="00E32AA3"/>
    <w:rsid w:val="00E33482"/>
    <w:rsid w:val="00E33B11"/>
    <w:rsid w:val="00E3552B"/>
    <w:rsid w:val="00E35C94"/>
    <w:rsid w:val="00E361E2"/>
    <w:rsid w:val="00E405E5"/>
    <w:rsid w:val="00E4164E"/>
    <w:rsid w:val="00E41EF0"/>
    <w:rsid w:val="00E43A77"/>
    <w:rsid w:val="00E43F5C"/>
    <w:rsid w:val="00E448A2"/>
    <w:rsid w:val="00E45C5B"/>
    <w:rsid w:val="00E4617A"/>
    <w:rsid w:val="00E46C8E"/>
    <w:rsid w:val="00E472B4"/>
    <w:rsid w:val="00E51A9E"/>
    <w:rsid w:val="00E520A1"/>
    <w:rsid w:val="00E522F9"/>
    <w:rsid w:val="00E5294D"/>
    <w:rsid w:val="00E54DB7"/>
    <w:rsid w:val="00E54EB7"/>
    <w:rsid w:val="00E54FF8"/>
    <w:rsid w:val="00E55829"/>
    <w:rsid w:val="00E56A32"/>
    <w:rsid w:val="00E571FB"/>
    <w:rsid w:val="00E60D27"/>
    <w:rsid w:val="00E615EB"/>
    <w:rsid w:val="00E67D55"/>
    <w:rsid w:val="00E70693"/>
    <w:rsid w:val="00E706ED"/>
    <w:rsid w:val="00E739FD"/>
    <w:rsid w:val="00E74D0F"/>
    <w:rsid w:val="00E7634E"/>
    <w:rsid w:val="00E7704B"/>
    <w:rsid w:val="00E7706E"/>
    <w:rsid w:val="00E7710C"/>
    <w:rsid w:val="00E7758E"/>
    <w:rsid w:val="00E77722"/>
    <w:rsid w:val="00E777F3"/>
    <w:rsid w:val="00E8088D"/>
    <w:rsid w:val="00E81FA6"/>
    <w:rsid w:val="00E81FDC"/>
    <w:rsid w:val="00E83FF5"/>
    <w:rsid w:val="00E8411C"/>
    <w:rsid w:val="00E84873"/>
    <w:rsid w:val="00E84AC4"/>
    <w:rsid w:val="00E854AA"/>
    <w:rsid w:val="00E856DF"/>
    <w:rsid w:val="00E869EB"/>
    <w:rsid w:val="00E8731A"/>
    <w:rsid w:val="00E87733"/>
    <w:rsid w:val="00E917A0"/>
    <w:rsid w:val="00E94806"/>
    <w:rsid w:val="00E94ABA"/>
    <w:rsid w:val="00E94C6D"/>
    <w:rsid w:val="00E94DC8"/>
    <w:rsid w:val="00E957B7"/>
    <w:rsid w:val="00E97132"/>
    <w:rsid w:val="00E97E52"/>
    <w:rsid w:val="00E97E7D"/>
    <w:rsid w:val="00EA002F"/>
    <w:rsid w:val="00EA0A7B"/>
    <w:rsid w:val="00EA1AFF"/>
    <w:rsid w:val="00EA1E6E"/>
    <w:rsid w:val="00EA1EEB"/>
    <w:rsid w:val="00EA27AC"/>
    <w:rsid w:val="00EA3079"/>
    <w:rsid w:val="00EA3BB3"/>
    <w:rsid w:val="00EA3E81"/>
    <w:rsid w:val="00EA467D"/>
    <w:rsid w:val="00EA4F2B"/>
    <w:rsid w:val="00EA5661"/>
    <w:rsid w:val="00EA569C"/>
    <w:rsid w:val="00EA67EA"/>
    <w:rsid w:val="00EB7630"/>
    <w:rsid w:val="00EB768B"/>
    <w:rsid w:val="00EB7B52"/>
    <w:rsid w:val="00EC0080"/>
    <w:rsid w:val="00EC183B"/>
    <w:rsid w:val="00EC1C56"/>
    <w:rsid w:val="00EC3524"/>
    <w:rsid w:val="00EC5972"/>
    <w:rsid w:val="00EC659F"/>
    <w:rsid w:val="00EC7C9D"/>
    <w:rsid w:val="00ED063E"/>
    <w:rsid w:val="00ED16AF"/>
    <w:rsid w:val="00ED2B8D"/>
    <w:rsid w:val="00ED2F01"/>
    <w:rsid w:val="00ED30CC"/>
    <w:rsid w:val="00ED386F"/>
    <w:rsid w:val="00ED43A8"/>
    <w:rsid w:val="00ED47C6"/>
    <w:rsid w:val="00ED4EBA"/>
    <w:rsid w:val="00ED5103"/>
    <w:rsid w:val="00ED6054"/>
    <w:rsid w:val="00ED6842"/>
    <w:rsid w:val="00ED6B17"/>
    <w:rsid w:val="00ED728C"/>
    <w:rsid w:val="00ED7562"/>
    <w:rsid w:val="00ED7C5C"/>
    <w:rsid w:val="00ED7F5E"/>
    <w:rsid w:val="00EE0CDE"/>
    <w:rsid w:val="00EE1AD3"/>
    <w:rsid w:val="00EE2048"/>
    <w:rsid w:val="00EE2443"/>
    <w:rsid w:val="00EE2654"/>
    <w:rsid w:val="00EE2773"/>
    <w:rsid w:val="00EE3947"/>
    <w:rsid w:val="00EE49EB"/>
    <w:rsid w:val="00EE500E"/>
    <w:rsid w:val="00EE7151"/>
    <w:rsid w:val="00EE7E54"/>
    <w:rsid w:val="00EF0AEA"/>
    <w:rsid w:val="00EF0EB2"/>
    <w:rsid w:val="00EF2F0E"/>
    <w:rsid w:val="00EF30E0"/>
    <w:rsid w:val="00EF35BA"/>
    <w:rsid w:val="00EF44AE"/>
    <w:rsid w:val="00EF7AD2"/>
    <w:rsid w:val="00EF7CF5"/>
    <w:rsid w:val="00F01220"/>
    <w:rsid w:val="00F01A96"/>
    <w:rsid w:val="00F02882"/>
    <w:rsid w:val="00F02A98"/>
    <w:rsid w:val="00F039A2"/>
    <w:rsid w:val="00F03A6B"/>
    <w:rsid w:val="00F04D20"/>
    <w:rsid w:val="00F05005"/>
    <w:rsid w:val="00F0532D"/>
    <w:rsid w:val="00F05E3B"/>
    <w:rsid w:val="00F07549"/>
    <w:rsid w:val="00F12B03"/>
    <w:rsid w:val="00F12E62"/>
    <w:rsid w:val="00F12FCD"/>
    <w:rsid w:val="00F143FF"/>
    <w:rsid w:val="00F15C3C"/>
    <w:rsid w:val="00F164BA"/>
    <w:rsid w:val="00F16BF0"/>
    <w:rsid w:val="00F16E11"/>
    <w:rsid w:val="00F177FC"/>
    <w:rsid w:val="00F178D8"/>
    <w:rsid w:val="00F17E69"/>
    <w:rsid w:val="00F17E87"/>
    <w:rsid w:val="00F204B3"/>
    <w:rsid w:val="00F20B49"/>
    <w:rsid w:val="00F23974"/>
    <w:rsid w:val="00F24874"/>
    <w:rsid w:val="00F24BD2"/>
    <w:rsid w:val="00F267BB"/>
    <w:rsid w:val="00F26A93"/>
    <w:rsid w:val="00F273C0"/>
    <w:rsid w:val="00F302E7"/>
    <w:rsid w:val="00F324A8"/>
    <w:rsid w:val="00F32AA6"/>
    <w:rsid w:val="00F348DE"/>
    <w:rsid w:val="00F354EC"/>
    <w:rsid w:val="00F3618B"/>
    <w:rsid w:val="00F363F4"/>
    <w:rsid w:val="00F36517"/>
    <w:rsid w:val="00F3655F"/>
    <w:rsid w:val="00F40018"/>
    <w:rsid w:val="00F40E03"/>
    <w:rsid w:val="00F414E8"/>
    <w:rsid w:val="00F4165B"/>
    <w:rsid w:val="00F4282C"/>
    <w:rsid w:val="00F432BE"/>
    <w:rsid w:val="00F43C71"/>
    <w:rsid w:val="00F45834"/>
    <w:rsid w:val="00F45883"/>
    <w:rsid w:val="00F4759B"/>
    <w:rsid w:val="00F51F28"/>
    <w:rsid w:val="00F52FBE"/>
    <w:rsid w:val="00F53011"/>
    <w:rsid w:val="00F55BF3"/>
    <w:rsid w:val="00F561B0"/>
    <w:rsid w:val="00F56AB3"/>
    <w:rsid w:val="00F57ECA"/>
    <w:rsid w:val="00F57FE3"/>
    <w:rsid w:val="00F62195"/>
    <w:rsid w:val="00F62CB1"/>
    <w:rsid w:val="00F63455"/>
    <w:rsid w:val="00F64125"/>
    <w:rsid w:val="00F6482A"/>
    <w:rsid w:val="00F64BC0"/>
    <w:rsid w:val="00F651D2"/>
    <w:rsid w:val="00F653D5"/>
    <w:rsid w:val="00F65A2A"/>
    <w:rsid w:val="00F7251F"/>
    <w:rsid w:val="00F72E14"/>
    <w:rsid w:val="00F73C13"/>
    <w:rsid w:val="00F76CFE"/>
    <w:rsid w:val="00F76DDE"/>
    <w:rsid w:val="00F80FA4"/>
    <w:rsid w:val="00F8106C"/>
    <w:rsid w:val="00F817E2"/>
    <w:rsid w:val="00F83FAF"/>
    <w:rsid w:val="00F84EED"/>
    <w:rsid w:val="00F852B2"/>
    <w:rsid w:val="00F87102"/>
    <w:rsid w:val="00F879FE"/>
    <w:rsid w:val="00F93933"/>
    <w:rsid w:val="00F93EE8"/>
    <w:rsid w:val="00F953A3"/>
    <w:rsid w:val="00F961AF"/>
    <w:rsid w:val="00F963F0"/>
    <w:rsid w:val="00F96B04"/>
    <w:rsid w:val="00F96E38"/>
    <w:rsid w:val="00FA0F19"/>
    <w:rsid w:val="00FA2515"/>
    <w:rsid w:val="00FA2F5D"/>
    <w:rsid w:val="00FA408A"/>
    <w:rsid w:val="00FA47F9"/>
    <w:rsid w:val="00FA5904"/>
    <w:rsid w:val="00FA60E4"/>
    <w:rsid w:val="00FA673E"/>
    <w:rsid w:val="00FA6A70"/>
    <w:rsid w:val="00FA6B55"/>
    <w:rsid w:val="00FA724D"/>
    <w:rsid w:val="00FB0041"/>
    <w:rsid w:val="00FB2FFC"/>
    <w:rsid w:val="00FB3524"/>
    <w:rsid w:val="00FB358D"/>
    <w:rsid w:val="00FB3A06"/>
    <w:rsid w:val="00FB3DE0"/>
    <w:rsid w:val="00FB4B23"/>
    <w:rsid w:val="00FB5ADB"/>
    <w:rsid w:val="00FB5F61"/>
    <w:rsid w:val="00FB5F9C"/>
    <w:rsid w:val="00FB77D0"/>
    <w:rsid w:val="00FC0064"/>
    <w:rsid w:val="00FC107D"/>
    <w:rsid w:val="00FC1B0D"/>
    <w:rsid w:val="00FC399E"/>
    <w:rsid w:val="00FC62FB"/>
    <w:rsid w:val="00FC7D9D"/>
    <w:rsid w:val="00FD055F"/>
    <w:rsid w:val="00FD2B91"/>
    <w:rsid w:val="00FD5282"/>
    <w:rsid w:val="00FD54A2"/>
    <w:rsid w:val="00FD5716"/>
    <w:rsid w:val="00FD62CE"/>
    <w:rsid w:val="00FD77AF"/>
    <w:rsid w:val="00FE08FF"/>
    <w:rsid w:val="00FE18BA"/>
    <w:rsid w:val="00FE3D6B"/>
    <w:rsid w:val="00FE4269"/>
    <w:rsid w:val="00FE4A0A"/>
    <w:rsid w:val="00FE62AB"/>
    <w:rsid w:val="00FF03EA"/>
    <w:rsid w:val="00FF0D66"/>
    <w:rsid w:val="00FF4640"/>
    <w:rsid w:val="00FF4DAF"/>
    <w:rsid w:val="00FF60CA"/>
    <w:rsid w:val="02304939"/>
    <w:rsid w:val="044109F2"/>
    <w:rsid w:val="048605CC"/>
    <w:rsid w:val="05D53735"/>
    <w:rsid w:val="060139FB"/>
    <w:rsid w:val="063907C1"/>
    <w:rsid w:val="06824BF0"/>
    <w:rsid w:val="07F95DA5"/>
    <w:rsid w:val="087408E6"/>
    <w:rsid w:val="0B604B18"/>
    <w:rsid w:val="0B9A68A9"/>
    <w:rsid w:val="0DDB1D5A"/>
    <w:rsid w:val="0E655332"/>
    <w:rsid w:val="0EF519C7"/>
    <w:rsid w:val="0F013807"/>
    <w:rsid w:val="14C30196"/>
    <w:rsid w:val="159D4482"/>
    <w:rsid w:val="15AB18BA"/>
    <w:rsid w:val="15BE4397"/>
    <w:rsid w:val="16592F3C"/>
    <w:rsid w:val="16822D1E"/>
    <w:rsid w:val="16CB5648"/>
    <w:rsid w:val="17457E73"/>
    <w:rsid w:val="17C818A3"/>
    <w:rsid w:val="17EC0158"/>
    <w:rsid w:val="18010269"/>
    <w:rsid w:val="19291CDB"/>
    <w:rsid w:val="193A0315"/>
    <w:rsid w:val="1AD6662F"/>
    <w:rsid w:val="1B043BA1"/>
    <w:rsid w:val="1CDD5945"/>
    <w:rsid w:val="1CE3322C"/>
    <w:rsid w:val="1DC81A14"/>
    <w:rsid w:val="1DCE79DE"/>
    <w:rsid w:val="1E8C1F2B"/>
    <w:rsid w:val="1EE85A37"/>
    <w:rsid w:val="1EF34321"/>
    <w:rsid w:val="200E62BE"/>
    <w:rsid w:val="209E5928"/>
    <w:rsid w:val="21F621E6"/>
    <w:rsid w:val="2224342E"/>
    <w:rsid w:val="22BE6BC1"/>
    <w:rsid w:val="2378337E"/>
    <w:rsid w:val="24964656"/>
    <w:rsid w:val="24E5755E"/>
    <w:rsid w:val="25BC4C70"/>
    <w:rsid w:val="25EC593B"/>
    <w:rsid w:val="279E2674"/>
    <w:rsid w:val="27AB6B40"/>
    <w:rsid w:val="289C7B0E"/>
    <w:rsid w:val="2A475EF0"/>
    <w:rsid w:val="2ADA61EF"/>
    <w:rsid w:val="2C714E0E"/>
    <w:rsid w:val="2DD1571E"/>
    <w:rsid w:val="2E3562D8"/>
    <w:rsid w:val="2F3802CC"/>
    <w:rsid w:val="30A92841"/>
    <w:rsid w:val="30F1059C"/>
    <w:rsid w:val="358D0863"/>
    <w:rsid w:val="3635090F"/>
    <w:rsid w:val="382B440E"/>
    <w:rsid w:val="38AA1DD4"/>
    <w:rsid w:val="393618B9"/>
    <w:rsid w:val="3B031511"/>
    <w:rsid w:val="3B5023D2"/>
    <w:rsid w:val="3B6C27C8"/>
    <w:rsid w:val="3BF6487A"/>
    <w:rsid w:val="3C5938F5"/>
    <w:rsid w:val="3D24184E"/>
    <w:rsid w:val="3D670293"/>
    <w:rsid w:val="3D7604D6"/>
    <w:rsid w:val="3DA27BAF"/>
    <w:rsid w:val="3FCC64FA"/>
    <w:rsid w:val="400718BA"/>
    <w:rsid w:val="40D45C40"/>
    <w:rsid w:val="40D6173F"/>
    <w:rsid w:val="416A0352"/>
    <w:rsid w:val="41966C29"/>
    <w:rsid w:val="41ED54EA"/>
    <w:rsid w:val="41F91334"/>
    <w:rsid w:val="424B0183"/>
    <w:rsid w:val="42B825D2"/>
    <w:rsid w:val="4306031C"/>
    <w:rsid w:val="437C3A46"/>
    <w:rsid w:val="45BF4D04"/>
    <w:rsid w:val="4777598B"/>
    <w:rsid w:val="482F7405"/>
    <w:rsid w:val="48420052"/>
    <w:rsid w:val="49FC7FB5"/>
    <w:rsid w:val="4A5B6463"/>
    <w:rsid w:val="4AC552E3"/>
    <w:rsid w:val="4BC411AF"/>
    <w:rsid w:val="4BDE6989"/>
    <w:rsid w:val="4BFC429C"/>
    <w:rsid w:val="4D495436"/>
    <w:rsid w:val="4DD32767"/>
    <w:rsid w:val="4FAD251C"/>
    <w:rsid w:val="502E69EF"/>
    <w:rsid w:val="513310CA"/>
    <w:rsid w:val="51B65CE0"/>
    <w:rsid w:val="51F84278"/>
    <w:rsid w:val="52905660"/>
    <w:rsid w:val="532A5B93"/>
    <w:rsid w:val="547E7F44"/>
    <w:rsid w:val="55094F40"/>
    <w:rsid w:val="55166EF4"/>
    <w:rsid w:val="56D03695"/>
    <w:rsid w:val="56FE711B"/>
    <w:rsid w:val="57454D4A"/>
    <w:rsid w:val="5751635E"/>
    <w:rsid w:val="58133AD9"/>
    <w:rsid w:val="58EF4066"/>
    <w:rsid w:val="59995821"/>
    <w:rsid w:val="5A366BCB"/>
    <w:rsid w:val="5BD06869"/>
    <w:rsid w:val="5E4963FE"/>
    <w:rsid w:val="61312A93"/>
    <w:rsid w:val="61643B7D"/>
    <w:rsid w:val="64262FF7"/>
    <w:rsid w:val="652942BA"/>
    <w:rsid w:val="65F22540"/>
    <w:rsid w:val="666878CC"/>
    <w:rsid w:val="689A40B9"/>
    <w:rsid w:val="69CE0BCF"/>
    <w:rsid w:val="69E748B9"/>
    <w:rsid w:val="6B0272D9"/>
    <w:rsid w:val="6D0F15F6"/>
    <w:rsid w:val="6F2F0496"/>
    <w:rsid w:val="700A5B33"/>
    <w:rsid w:val="709A2129"/>
    <w:rsid w:val="733F5688"/>
    <w:rsid w:val="735C13E0"/>
    <w:rsid w:val="745D771F"/>
    <w:rsid w:val="74691E9A"/>
    <w:rsid w:val="753E061F"/>
    <w:rsid w:val="75547DA2"/>
    <w:rsid w:val="75E74F8A"/>
    <w:rsid w:val="76D06027"/>
    <w:rsid w:val="78E82ECC"/>
    <w:rsid w:val="792E65F9"/>
    <w:rsid w:val="79C243D1"/>
    <w:rsid w:val="7C1C3A1B"/>
    <w:rsid w:val="7CFE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jc w:val="center"/>
      <w:outlineLvl w:val="0"/>
    </w:pPr>
    <w:rPr>
      <w:rFonts w:hint="eastAsia" w:ascii="楷体_GB2312" w:hAnsi="宋体" w:eastAsia="楷体_GB2312"/>
      <w:kern w:val="32"/>
      <w:sz w:val="30"/>
    </w:rPr>
  </w:style>
  <w:style w:type="paragraph" w:styleId="3">
    <w:name w:val="heading 2"/>
    <w:basedOn w:val="1"/>
    <w:next w:val="1"/>
    <w:link w:val="32"/>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3"/>
    <w:qFormat/>
    <w:uiPriority w:val="0"/>
    <w:pPr>
      <w:keepNext/>
      <w:keepLines/>
      <w:spacing w:before="260" w:after="260" w:line="416" w:lineRule="auto"/>
      <w:outlineLvl w:val="2"/>
    </w:pPr>
    <w:rPr>
      <w:b/>
      <w:bCs/>
      <w:sz w:val="32"/>
      <w:szCs w:val="32"/>
    </w:rPr>
  </w:style>
  <w:style w:type="paragraph" w:styleId="5">
    <w:name w:val="heading 4"/>
    <w:basedOn w:val="1"/>
    <w:next w:val="1"/>
    <w:link w:val="34"/>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77"/>
    <w:semiHidden/>
    <w:qFormat/>
    <w:uiPriority w:val="99"/>
    <w:pPr>
      <w:shd w:val="clear" w:color="auto" w:fill="000080"/>
    </w:pPr>
  </w:style>
  <w:style w:type="paragraph" w:styleId="8">
    <w:name w:val="annotation text"/>
    <w:basedOn w:val="1"/>
    <w:link w:val="41"/>
    <w:semiHidden/>
    <w:qFormat/>
    <w:uiPriority w:val="99"/>
    <w:pPr>
      <w:jc w:val="left"/>
    </w:pPr>
  </w:style>
  <w:style w:type="paragraph" w:styleId="9">
    <w:name w:val="Body Text"/>
    <w:basedOn w:val="1"/>
    <w:link w:val="36"/>
    <w:qFormat/>
    <w:uiPriority w:val="0"/>
    <w:pPr>
      <w:spacing w:line="480" w:lineRule="auto"/>
      <w:jc w:val="center"/>
    </w:pPr>
    <w:rPr>
      <w:rFonts w:ascii="宋体"/>
      <w:b/>
      <w:sz w:val="72"/>
      <w:szCs w:val="20"/>
    </w:rPr>
  </w:style>
  <w:style w:type="paragraph" w:styleId="10">
    <w:name w:val="Body Text Indent"/>
    <w:basedOn w:val="1"/>
    <w:link w:val="74"/>
    <w:qFormat/>
    <w:uiPriority w:val="99"/>
    <w:pPr>
      <w:spacing w:line="120" w:lineRule="auto"/>
      <w:ind w:firstLine="560" w:firstLineChars="200"/>
    </w:pPr>
    <w:rPr>
      <w:rFonts w:ascii="楷体_GB2312" w:hAnsi="Wingdings 3" w:eastAsia="楷体_GB2312"/>
      <w:kern w:val="32"/>
      <w:sz w:val="28"/>
    </w:rPr>
  </w:style>
  <w:style w:type="paragraph" w:styleId="11">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2">
    <w:name w:val="Plain Text"/>
    <w:basedOn w:val="1"/>
    <w:link w:val="64"/>
    <w:qFormat/>
    <w:uiPriority w:val="0"/>
    <w:rPr>
      <w:rFonts w:ascii="宋体" w:hAnsi="Courier New"/>
      <w:kern w:val="0"/>
      <w:sz w:val="20"/>
    </w:rPr>
  </w:style>
  <w:style w:type="paragraph" w:styleId="13">
    <w:name w:val="Date"/>
    <w:basedOn w:val="1"/>
    <w:next w:val="1"/>
    <w:link w:val="35"/>
    <w:qFormat/>
    <w:uiPriority w:val="99"/>
    <w:rPr>
      <w:rFonts w:hint="eastAsia" w:ascii="楷体_GB2312" w:eastAsia="楷体_GB2312"/>
      <w:kern w:val="0"/>
      <w:sz w:val="30"/>
      <w:szCs w:val="20"/>
    </w:rPr>
  </w:style>
  <w:style w:type="paragraph" w:styleId="14">
    <w:name w:val="Body Text Indent 2"/>
    <w:basedOn w:val="1"/>
    <w:link w:val="75"/>
    <w:qFormat/>
    <w:uiPriority w:val="99"/>
    <w:pPr>
      <w:spacing w:line="180" w:lineRule="auto"/>
      <w:ind w:firstLine="566" w:firstLineChars="202"/>
    </w:pPr>
    <w:rPr>
      <w:rFonts w:ascii="楷体_GB2312" w:hAnsi="Wingdings 3" w:eastAsia="楷体_GB2312"/>
      <w:kern w:val="32"/>
      <w:sz w:val="28"/>
    </w:rPr>
  </w:style>
  <w:style w:type="paragraph" w:styleId="15">
    <w:name w:val="Balloon Text"/>
    <w:basedOn w:val="1"/>
    <w:link w:val="38"/>
    <w:qFormat/>
    <w:uiPriority w:val="99"/>
    <w:rPr>
      <w:sz w:val="18"/>
      <w:szCs w:val="18"/>
    </w:rPr>
  </w:style>
  <w:style w:type="paragraph" w:styleId="16">
    <w:name w:val="footer"/>
    <w:basedOn w:val="1"/>
    <w:link w:val="37"/>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17">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tabs>
        <w:tab w:val="right" w:leader="dot" w:pos="8273"/>
      </w:tabs>
      <w:spacing w:line="360" w:lineRule="auto"/>
      <w:jc w:val="left"/>
    </w:pPr>
    <w:rPr>
      <w:rFonts w:ascii="Calibri" w:hAnsi="Calibri" w:eastAsia="黑体"/>
      <w:kern w:val="0"/>
      <w:sz w:val="22"/>
      <w:szCs w:val="22"/>
    </w:rPr>
  </w:style>
  <w:style w:type="paragraph" w:styleId="19">
    <w:name w:val="Body Text Indent 3"/>
    <w:basedOn w:val="1"/>
    <w:link w:val="76"/>
    <w:qFormat/>
    <w:uiPriority w:val="99"/>
    <w:pPr>
      <w:spacing w:line="180" w:lineRule="auto"/>
      <w:ind w:left="420" w:leftChars="200" w:firstLine="146" w:firstLineChars="52"/>
    </w:pPr>
    <w:rPr>
      <w:rFonts w:ascii="宋体" w:hAnsi="宋体"/>
      <w:kern w:val="32"/>
      <w:sz w:val="28"/>
    </w:rPr>
  </w:style>
  <w:style w:type="paragraph" w:styleId="20">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1">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2">
    <w:name w:val="annotation subject"/>
    <w:basedOn w:val="8"/>
    <w:next w:val="8"/>
    <w:link w:val="42"/>
    <w:semiHidden/>
    <w:qFormat/>
    <w:uiPriority w:val="99"/>
    <w:rPr>
      <w:b/>
      <w:bC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page number"/>
    <w:basedOn w:val="25"/>
    <w:qFormat/>
    <w:uiPriority w:val="0"/>
  </w:style>
  <w:style w:type="character" w:styleId="28">
    <w:name w:val="FollowedHyperlink"/>
    <w:qFormat/>
    <w:uiPriority w:val="99"/>
    <w:rPr>
      <w:color w:val="800080"/>
      <w:u w:val="single"/>
    </w:rPr>
  </w:style>
  <w:style w:type="character" w:styleId="29">
    <w:name w:val="Hyperlink"/>
    <w:qFormat/>
    <w:uiPriority w:val="0"/>
    <w:rPr>
      <w:color w:val="0000FF"/>
      <w:u w:val="single"/>
    </w:rPr>
  </w:style>
  <w:style w:type="character" w:styleId="30">
    <w:name w:val="annotation reference"/>
    <w:semiHidden/>
    <w:qFormat/>
    <w:uiPriority w:val="0"/>
    <w:rPr>
      <w:sz w:val="21"/>
      <w:szCs w:val="21"/>
    </w:rPr>
  </w:style>
  <w:style w:type="character" w:customStyle="1" w:styleId="31">
    <w:name w:val="标题 1 字符"/>
    <w:basedOn w:val="25"/>
    <w:link w:val="2"/>
    <w:qFormat/>
    <w:uiPriority w:val="9"/>
    <w:rPr>
      <w:rFonts w:ascii="楷体_GB2312" w:hAnsi="宋体" w:eastAsia="楷体_GB2312"/>
      <w:kern w:val="32"/>
      <w:sz w:val="30"/>
      <w:szCs w:val="24"/>
    </w:rPr>
  </w:style>
  <w:style w:type="character" w:customStyle="1" w:styleId="32">
    <w:name w:val="标题 2 字符"/>
    <w:basedOn w:val="25"/>
    <w:link w:val="3"/>
    <w:qFormat/>
    <w:uiPriority w:val="9"/>
    <w:rPr>
      <w:rFonts w:ascii="Cambria" w:hAnsi="Cambria"/>
      <w:b/>
      <w:bCs/>
      <w:sz w:val="32"/>
      <w:szCs w:val="32"/>
    </w:rPr>
  </w:style>
  <w:style w:type="character" w:customStyle="1" w:styleId="33">
    <w:name w:val="标题 3 字符"/>
    <w:basedOn w:val="25"/>
    <w:link w:val="4"/>
    <w:qFormat/>
    <w:uiPriority w:val="0"/>
    <w:rPr>
      <w:b/>
      <w:bCs/>
      <w:kern w:val="2"/>
      <w:sz w:val="32"/>
      <w:szCs w:val="32"/>
    </w:rPr>
  </w:style>
  <w:style w:type="character" w:customStyle="1" w:styleId="34">
    <w:name w:val="标题 4 字符"/>
    <w:basedOn w:val="25"/>
    <w:link w:val="5"/>
    <w:qFormat/>
    <w:uiPriority w:val="9"/>
    <w:rPr>
      <w:rFonts w:ascii="Cambria" w:hAnsi="Cambria"/>
      <w:b/>
      <w:bCs/>
      <w:sz w:val="28"/>
      <w:szCs w:val="28"/>
    </w:rPr>
  </w:style>
  <w:style w:type="character" w:customStyle="1" w:styleId="35">
    <w:name w:val="日期 字符"/>
    <w:basedOn w:val="25"/>
    <w:link w:val="13"/>
    <w:qFormat/>
    <w:uiPriority w:val="99"/>
    <w:rPr>
      <w:rFonts w:ascii="楷体_GB2312" w:eastAsia="楷体_GB2312"/>
      <w:sz w:val="30"/>
    </w:rPr>
  </w:style>
  <w:style w:type="character" w:customStyle="1" w:styleId="36">
    <w:name w:val="正文文本 字符"/>
    <w:basedOn w:val="25"/>
    <w:link w:val="9"/>
    <w:qFormat/>
    <w:uiPriority w:val="0"/>
    <w:rPr>
      <w:rFonts w:ascii="宋体"/>
      <w:b/>
      <w:kern w:val="2"/>
      <w:sz w:val="72"/>
    </w:rPr>
  </w:style>
  <w:style w:type="character" w:customStyle="1" w:styleId="37">
    <w:name w:val="页脚 字符"/>
    <w:basedOn w:val="25"/>
    <w:link w:val="16"/>
    <w:qFormat/>
    <w:uiPriority w:val="99"/>
    <w:rPr>
      <w:sz w:val="18"/>
    </w:rPr>
  </w:style>
  <w:style w:type="character" w:customStyle="1" w:styleId="38">
    <w:name w:val="批注框文本 字符"/>
    <w:basedOn w:val="25"/>
    <w:link w:val="15"/>
    <w:qFormat/>
    <w:uiPriority w:val="99"/>
    <w:rPr>
      <w:kern w:val="2"/>
      <w:sz w:val="18"/>
      <w:szCs w:val="18"/>
    </w:rPr>
  </w:style>
  <w:style w:type="paragraph" w:customStyle="1" w:styleId="39">
    <w:name w:val="样式 样式 样式 正文首行缩进 + 首行缩进:  2 字符 + 首行缩进:  2 字符 + 首行缩进:  2 字符"/>
    <w:basedOn w:val="1"/>
    <w:qFormat/>
    <w:uiPriority w:val="99"/>
    <w:pPr>
      <w:adjustRightInd w:val="0"/>
      <w:snapToGrid w:val="0"/>
      <w:spacing w:line="360" w:lineRule="auto"/>
      <w:ind w:firstLine="480" w:firstLineChars="200"/>
      <w:jc w:val="left"/>
    </w:pPr>
    <w:rPr>
      <w:rFonts w:hint="eastAsia" w:ascii="宋体" w:hAnsi="宋体"/>
      <w:color w:val="000000"/>
      <w:sz w:val="28"/>
      <w:szCs w:val="20"/>
    </w:rPr>
  </w:style>
  <w:style w:type="character" w:customStyle="1" w:styleId="40">
    <w:name w:val="articleitemtext1"/>
    <w:qFormat/>
    <w:uiPriority w:val="0"/>
    <w:rPr>
      <w:color w:val="000000"/>
      <w:sz w:val="18"/>
      <w:szCs w:val="18"/>
    </w:rPr>
  </w:style>
  <w:style w:type="character" w:customStyle="1" w:styleId="41">
    <w:name w:val="批注文字 字符"/>
    <w:basedOn w:val="25"/>
    <w:link w:val="8"/>
    <w:semiHidden/>
    <w:qFormat/>
    <w:uiPriority w:val="99"/>
    <w:rPr>
      <w:kern w:val="2"/>
      <w:sz w:val="21"/>
      <w:szCs w:val="24"/>
    </w:rPr>
  </w:style>
  <w:style w:type="character" w:customStyle="1" w:styleId="42">
    <w:name w:val="批注主题 字符"/>
    <w:basedOn w:val="41"/>
    <w:link w:val="22"/>
    <w:semiHidden/>
    <w:qFormat/>
    <w:uiPriority w:val="99"/>
    <w:rPr>
      <w:b/>
      <w:bCs/>
      <w:kern w:val="2"/>
      <w:sz w:val="21"/>
      <w:szCs w:val="24"/>
    </w:rPr>
  </w:style>
  <w:style w:type="paragraph" w:customStyle="1" w:styleId="43">
    <w:name w:val="Char1"/>
    <w:basedOn w:val="1"/>
    <w:qFormat/>
    <w:uiPriority w:val="99"/>
    <w:rPr>
      <w:rFonts w:ascii="Tahoma" w:hAnsi="Tahoma"/>
      <w:sz w:val="24"/>
      <w:szCs w:val="20"/>
    </w:rPr>
  </w:style>
  <w:style w:type="paragraph" w:customStyle="1" w:styleId="44">
    <w:name w:val="样式 样式 样式 正文首行缩进 2 + 左侧:  2 字符 首行缩进:  2 字符 + 首行缩进:  2 字符 + 行距: 1.... Char"/>
    <w:basedOn w:val="1"/>
    <w:qFormat/>
    <w:uiPriority w:val="99"/>
    <w:pPr>
      <w:widowControl/>
      <w:spacing w:before="60" w:after="60" w:line="360" w:lineRule="auto"/>
      <w:ind w:firstLine="480" w:firstLineChars="200"/>
      <w:jc w:val="left"/>
    </w:pPr>
    <w:rPr>
      <w:kern w:val="0"/>
      <w:sz w:val="24"/>
      <w:szCs w:val="20"/>
    </w:rPr>
  </w:style>
  <w:style w:type="character" w:customStyle="1" w:styleId="45">
    <w:name w:val="f16b1"/>
    <w:qFormat/>
    <w:uiPriority w:val="0"/>
    <w:rPr>
      <w:b/>
      <w:bCs/>
      <w:color w:val="333333"/>
      <w:sz w:val="24"/>
      <w:szCs w:val="24"/>
    </w:rPr>
  </w:style>
  <w:style w:type="character" w:customStyle="1" w:styleId="46">
    <w:name w:val="页眉 字符"/>
    <w:basedOn w:val="25"/>
    <w:link w:val="17"/>
    <w:qFormat/>
    <w:uiPriority w:val="99"/>
    <w:rPr>
      <w:kern w:val="2"/>
      <w:sz w:val="18"/>
      <w:szCs w:val="18"/>
    </w:rPr>
  </w:style>
  <w:style w:type="paragraph" w:customStyle="1" w:styleId="47">
    <w:name w:val="Char"/>
    <w:basedOn w:val="1"/>
    <w:qFormat/>
    <w:uiPriority w:val="99"/>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48">
    <w:name w:val="正文1"/>
    <w:basedOn w:val="1"/>
    <w:link w:val="49"/>
    <w:qFormat/>
    <w:uiPriority w:val="0"/>
    <w:pPr>
      <w:widowControl/>
      <w:topLinePunct/>
      <w:spacing w:beforeLines="50" w:afterLines="50" w:line="300" w:lineRule="auto"/>
      <w:ind w:left="420"/>
    </w:pPr>
  </w:style>
  <w:style w:type="character" w:customStyle="1" w:styleId="49">
    <w:name w:val="正文1 Char"/>
    <w:link w:val="48"/>
    <w:qFormat/>
    <w:uiPriority w:val="0"/>
    <w:rPr>
      <w:rFonts w:eastAsia="宋体"/>
      <w:kern w:val="2"/>
      <w:sz w:val="21"/>
      <w:szCs w:val="24"/>
      <w:lang w:val="en-US" w:eastAsia="zh-CN" w:bidi="ar-SA"/>
    </w:rPr>
  </w:style>
  <w:style w:type="paragraph" w:customStyle="1" w:styleId="50">
    <w:name w:val="表格"/>
    <w:basedOn w:val="1"/>
    <w:link w:val="51"/>
    <w:qFormat/>
    <w:uiPriority w:val="0"/>
    <w:pPr>
      <w:snapToGrid w:val="0"/>
      <w:ind w:firstLine="42" w:firstLineChars="21"/>
    </w:pPr>
    <w:rPr>
      <w:rFonts w:ascii="宋体" w:hAnsi="宋体"/>
      <w:kern w:val="0"/>
      <w:sz w:val="20"/>
      <w:szCs w:val="20"/>
    </w:rPr>
  </w:style>
  <w:style w:type="character" w:customStyle="1" w:styleId="51">
    <w:name w:val="表格 Char Char"/>
    <w:link w:val="50"/>
    <w:qFormat/>
    <w:uiPriority w:val="0"/>
    <w:rPr>
      <w:rFonts w:ascii="宋体" w:hAnsi="宋体" w:eastAsia="宋体"/>
      <w:lang w:val="en-US" w:eastAsia="zh-CN" w:bidi="ar-SA"/>
    </w:rPr>
  </w:style>
  <w:style w:type="character" w:customStyle="1" w:styleId="52">
    <w:name w:val="huei12b"/>
    <w:basedOn w:val="25"/>
    <w:qFormat/>
    <w:uiPriority w:val="0"/>
  </w:style>
  <w:style w:type="character" w:customStyle="1" w:styleId="53">
    <w:name w:val="olt_table_content_cfg1"/>
    <w:qFormat/>
    <w:uiPriority w:val="0"/>
    <w:rPr>
      <w:rFonts w:hint="default" w:ascii="Arial" w:hAnsi="Arial" w:cs="Arial"/>
      <w:color w:val="000000"/>
      <w:sz w:val="16"/>
      <w:szCs w:val="16"/>
    </w:rPr>
  </w:style>
  <w:style w:type="paragraph" w:styleId="54">
    <w:name w:val="List Paragraph"/>
    <w:basedOn w:val="1"/>
    <w:link w:val="55"/>
    <w:qFormat/>
    <w:uiPriority w:val="0"/>
    <w:pPr>
      <w:ind w:firstLine="420" w:firstLineChars="200"/>
    </w:pPr>
  </w:style>
  <w:style w:type="character" w:customStyle="1" w:styleId="55">
    <w:name w:val="列出段落 字符"/>
    <w:link w:val="54"/>
    <w:qFormat/>
    <w:uiPriority w:val="0"/>
    <w:rPr>
      <w:kern w:val="2"/>
      <w:sz w:val="21"/>
      <w:szCs w:val="24"/>
    </w:rPr>
  </w:style>
  <w:style w:type="paragraph" w:customStyle="1" w:styleId="56">
    <w:name w:val="正文缩进2格"/>
    <w:basedOn w:val="1"/>
    <w:link w:val="57"/>
    <w:qFormat/>
    <w:uiPriority w:val="0"/>
    <w:pPr>
      <w:spacing w:line="600" w:lineRule="exact"/>
      <w:ind w:firstLine="639" w:firstLineChars="206"/>
    </w:pPr>
    <w:rPr>
      <w:rFonts w:ascii="仿宋_GB2312" w:hAnsi="宋体" w:eastAsia="仿宋_GB2312"/>
      <w:sz w:val="31"/>
      <w:szCs w:val="28"/>
    </w:rPr>
  </w:style>
  <w:style w:type="character" w:customStyle="1" w:styleId="57">
    <w:name w:val="正文缩进2格 Char"/>
    <w:link w:val="56"/>
    <w:qFormat/>
    <w:uiPriority w:val="0"/>
    <w:rPr>
      <w:rFonts w:ascii="仿宋_GB2312" w:hAnsi="宋体" w:eastAsia="仿宋_GB2312"/>
      <w:kern w:val="2"/>
      <w:sz w:val="31"/>
      <w:szCs w:val="28"/>
    </w:rPr>
  </w:style>
  <w:style w:type="paragraph" w:customStyle="1" w:styleId="58">
    <w:name w:val="正文无缩进"/>
    <w:basedOn w:val="56"/>
    <w:qFormat/>
    <w:uiPriority w:val="99"/>
    <w:pPr>
      <w:ind w:firstLine="0" w:firstLineChars="0"/>
    </w:pPr>
  </w:style>
  <w:style w:type="character" w:customStyle="1" w:styleId="59">
    <w:name w:val="样式 楷体_GB2312 小四"/>
    <w:qFormat/>
    <w:uiPriority w:val="0"/>
    <w:rPr>
      <w:rFonts w:ascii="楷体_GB2312" w:hAnsi="楷体_GB2312" w:eastAsia="仿宋_GB2312"/>
      <w:sz w:val="24"/>
    </w:rPr>
  </w:style>
  <w:style w:type="paragraph" w:customStyle="1" w:styleId="60">
    <w:name w:val="标题 3.5"/>
    <w:basedOn w:val="4"/>
    <w:qFormat/>
    <w:uiPriority w:val="99"/>
    <w:pPr>
      <w:keepNext w:val="0"/>
      <w:keepLines w:val="0"/>
      <w:spacing w:before="0" w:after="0" w:line="600" w:lineRule="exact"/>
      <w:outlineLvl w:val="9"/>
    </w:pPr>
    <w:rPr>
      <w:rFonts w:eastAsia="仿宋_GB2312"/>
      <w:b w:val="0"/>
      <w:bCs w:val="0"/>
      <w:sz w:val="31"/>
      <w:szCs w:val="24"/>
    </w:rPr>
  </w:style>
  <w:style w:type="paragraph" w:customStyle="1" w:styleId="61">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62">
    <w:name w:val="p141"/>
    <w:qFormat/>
    <w:uiPriority w:val="0"/>
    <w:rPr>
      <w:sz w:val="21"/>
      <w:szCs w:val="21"/>
    </w:rPr>
  </w:style>
  <w:style w:type="paragraph" w:customStyle="1" w:styleId="63">
    <w:name w:val="TOC 标题1"/>
    <w:basedOn w:val="2"/>
    <w:next w:val="1"/>
    <w:qFormat/>
    <w:uiPriority w:val="39"/>
    <w:pPr>
      <w:keepLines/>
      <w:widowControl/>
      <w:spacing w:before="480" w:line="276" w:lineRule="auto"/>
      <w:jc w:val="left"/>
      <w:outlineLvl w:val="9"/>
    </w:pPr>
    <w:rPr>
      <w:rFonts w:hint="default" w:ascii="Cambria" w:hAnsi="Cambria" w:eastAsia="宋体"/>
      <w:b/>
      <w:bCs/>
      <w:color w:val="365F91"/>
      <w:kern w:val="0"/>
      <w:sz w:val="28"/>
      <w:szCs w:val="28"/>
    </w:rPr>
  </w:style>
  <w:style w:type="character" w:customStyle="1" w:styleId="64">
    <w:name w:val="纯文本 字符"/>
    <w:link w:val="12"/>
    <w:qFormat/>
    <w:uiPriority w:val="0"/>
    <w:rPr>
      <w:rFonts w:ascii="宋体" w:hAnsi="Courier New"/>
      <w:szCs w:val="24"/>
    </w:rPr>
  </w:style>
  <w:style w:type="character" w:customStyle="1" w:styleId="65">
    <w:name w:val="纯文本 Char"/>
    <w:basedOn w:val="25"/>
    <w:qFormat/>
    <w:uiPriority w:val="99"/>
    <w:rPr>
      <w:rFonts w:ascii="宋体" w:hAnsi="Courier New" w:cs="Courier New"/>
      <w:kern w:val="2"/>
      <w:sz w:val="21"/>
      <w:szCs w:val="21"/>
    </w:rPr>
  </w:style>
  <w:style w:type="character" w:customStyle="1" w:styleId="66">
    <w:name w:val="正文缩进2格 Char Char"/>
    <w:qFormat/>
    <w:uiPriority w:val="0"/>
    <w:rPr>
      <w:rFonts w:ascii="仿宋_GB2312" w:hAnsi="宋体" w:eastAsia="仿宋_GB2312"/>
      <w:kern w:val="2"/>
      <w:sz w:val="31"/>
      <w:szCs w:val="28"/>
      <w:lang w:val="en-US" w:eastAsia="zh-CN" w:bidi="ar-SA"/>
    </w:rPr>
  </w:style>
  <w:style w:type="paragraph" w:customStyle="1" w:styleId="67">
    <w:name w:val="正文缩进4格"/>
    <w:basedOn w:val="56"/>
    <w:qFormat/>
    <w:uiPriority w:val="99"/>
    <w:pPr>
      <w:spacing w:line="340" w:lineRule="exact"/>
      <w:ind w:firstLine="315" w:firstLineChars="0"/>
    </w:pPr>
    <w:rPr>
      <w:rFonts w:ascii="宋体" w:eastAsia="宋体"/>
      <w:kern w:val="0"/>
      <w:sz w:val="24"/>
      <w:szCs w:val="24"/>
    </w:rPr>
  </w:style>
  <w:style w:type="character" w:customStyle="1" w:styleId="68">
    <w:name w:val="正文文本 Char1"/>
    <w:qFormat/>
    <w:uiPriority w:val="0"/>
    <w:rPr>
      <w:rFonts w:ascii="Times New Roman" w:hAnsi="Times New Roman" w:eastAsia="宋体" w:cs="Times New Roman"/>
      <w:kern w:val="0"/>
      <w:sz w:val="20"/>
      <w:szCs w:val="24"/>
    </w:rPr>
  </w:style>
  <w:style w:type="paragraph" w:customStyle="1" w:styleId="69">
    <w:name w:val="保留正文"/>
    <w:basedOn w:val="9"/>
    <w:qFormat/>
    <w:uiPriority w:val="99"/>
    <w:pPr>
      <w:keepNext/>
      <w:spacing w:after="160" w:line="240" w:lineRule="auto"/>
      <w:jc w:val="both"/>
    </w:pPr>
    <w:rPr>
      <w:rFonts w:ascii="Times New Roman"/>
      <w:b w:val="0"/>
      <w:kern w:val="0"/>
      <w:sz w:val="20"/>
      <w:szCs w:val="24"/>
    </w:rPr>
  </w:style>
  <w:style w:type="paragraph" w:customStyle="1" w:styleId="70">
    <w:name w:val="列出段落1"/>
    <w:basedOn w:val="1"/>
    <w:qFormat/>
    <w:uiPriority w:val="99"/>
    <w:pPr>
      <w:ind w:firstLine="420" w:firstLineChars="200"/>
    </w:pPr>
    <w:rPr>
      <w:rFonts w:ascii="Calibri" w:hAnsi="Calibri" w:cs="黑体"/>
      <w:szCs w:val="22"/>
    </w:rPr>
  </w:style>
  <w:style w:type="paragraph" w:customStyle="1" w:styleId="71">
    <w:name w:val="_Style 202"/>
    <w:basedOn w:val="1"/>
    <w:qFormat/>
    <w:uiPriority w:val="99"/>
    <w:pPr>
      <w:tabs>
        <w:tab w:val="left" w:pos="360"/>
      </w:tabs>
    </w:pPr>
  </w:style>
  <w:style w:type="paragraph" w:customStyle="1" w:styleId="72">
    <w:name w:val="列出段落11"/>
    <w:basedOn w:val="1"/>
    <w:qFormat/>
    <w:uiPriority w:val="99"/>
    <w:pPr>
      <w:ind w:firstLine="420" w:firstLineChars="200"/>
    </w:pPr>
    <w:rPr>
      <w:rFonts w:ascii="Calibri" w:hAnsi="Calibri" w:cs="黑体"/>
      <w:szCs w:val="22"/>
    </w:rPr>
  </w:style>
  <w:style w:type="paragraph" w:customStyle="1" w:styleId="73">
    <w:name w:val="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character" w:customStyle="1" w:styleId="74">
    <w:name w:val="正文文本缩进 字符"/>
    <w:basedOn w:val="25"/>
    <w:link w:val="10"/>
    <w:qFormat/>
    <w:uiPriority w:val="99"/>
    <w:rPr>
      <w:rFonts w:ascii="楷体_GB2312" w:hAnsi="Wingdings 3" w:eastAsia="楷体_GB2312"/>
      <w:kern w:val="32"/>
      <w:sz w:val="28"/>
      <w:szCs w:val="24"/>
    </w:rPr>
  </w:style>
  <w:style w:type="character" w:customStyle="1" w:styleId="75">
    <w:name w:val="正文文本缩进 2 字符"/>
    <w:basedOn w:val="25"/>
    <w:link w:val="14"/>
    <w:qFormat/>
    <w:uiPriority w:val="99"/>
    <w:rPr>
      <w:rFonts w:ascii="楷体_GB2312" w:hAnsi="Wingdings 3" w:eastAsia="楷体_GB2312"/>
      <w:kern w:val="32"/>
      <w:sz w:val="28"/>
      <w:szCs w:val="24"/>
    </w:rPr>
  </w:style>
  <w:style w:type="character" w:customStyle="1" w:styleId="76">
    <w:name w:val="正文文本缩进 3 字符"/>
    <w:basedOn w:val="25"/>
    <w:link w:val="19"/>
    <w:qFormat/>
    <w:uiPriority w:val="99"/>
    <w:rPr>
      <w:rFonts w:ascii="宋体" w:hAnsi="宋体"/>
      <w:kern w:val="32"/>
      <w:sz w:val="28"/>
      <w:szCs w:val="24"/>
    </w:rPr>
  </w:style>
  <w:style w:type="character" w:customStyle="1" w:styleId="77">
    <w:name w:val="文档结构图 字符"/>
    <w:basedOn w:val="25"/>
    <w:link w:val="7"/>
    <w:semiHidden/>
    <w:qFormat/>
    <w:uiPriority w:val="99"/>
    <w:rPr>
      <w:kern w:val="2"/>
      <w:sz w:val="21"/>
      <w:szCs w:val="24"/>
      <w:shd w:val="clear" w:color="auto" w:fill="000080"/>
    </w:rPr>
  </w:style>
  <w:style w:type="paragraph" w:customStyle="1" w:styleId="78">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5B7EA-8733-455E-8C10-817A8BC321A1}">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23</Pages>
  <Words>6074</Words>
  <Characters>6367</Characters>
  <Lines>64</Lines>
  <Paragraphs>18</Paragraphs>
  <TotalTime>5</TotalTime>
  <ScaleCrop>false</ScaleCrop>
  <LinksUpToDate>false</LinksUpToDate>
  <CharactersWithSpaces>6397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2023-06-01T00:52:00Z</dcterms:created>
  <dc:creator>樊贵峰</dc:creator>
  <cp:lastModifiedBy>黄志强</cp:lastModifiedBy>
  <cp:lastPrinted>2023-06-07T07:44:00Z</cp:lastPrinted>
  <dcterms:modified xsi:type="dcterms:W3CDTF">2026-07-13T02:28:40Z</dcterms:modified>
  <dc:title>廊坊市政府采购中心询价采购函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481B3E9F60CE4103AFD41BA767BC3D06</vt:lpwstr>
  </property>
  <property fmtid="{D5CDD505-2E9C-101B-9397-08002B2CF9AE}" pid="4" name="KSOTemplateDocerSaveRecord">
    <vt:lpwstr>eyJoZGlkIjoiZTg0N2JmMTU5OWQ0YTkxODJmNjYxNmI1MjA4ZjMxNDkiLCJ1c2VySWQiOiIxNjY4NTA4Nzg2In0=</vt:lpwstr>
  </property>
</Properties>
</file>