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jc w:val="center"/>
        <w:tblInd w:w="0" w:type="dxa"/>
        <w:tblLayout w:type="fixed"/>
        <w:tblCellMar>
          <w:top w:w="0" w:type="dxa"/>
          <w:left w:w="108" w:type="dxa"/>
          <w:bottom w:w="0" w:type="dxa"/>
          <w:right w:w="108" w:type="dxa"/>
        </w:tblCellMar>
      </w:tblPr>
      <w:tblGrid>
        <w:gridCol w:w="8522"/>
      </w:tblGrid>
      <w:tr>
        <w:tblPrEx>
          <w:tblLayout w:type="fixed"/>
        </w:tblPrEx>
        <w:trPr>
          <w:trHeight w:val="2880" w:hRule="atLeast"/>
          <w:jc w:val="center"/>
        </w:trPr>
        <w:tc>
          <w:tcPr>
            <w:tcW w:w="8522" w:type="dxa"/>
          </w:tcPr>
          <w:p>
            <w:pPr>
              <w:pStyle w:val="10"/>
              <w:jc w:val="center"/>
              <w:rPr>
                <w:rFonts w:ascii="Times New Roman" w:hAnsi="Times New Roman" w:cs="Times New Roman" w:eastAsiaTheme="majorEastAsia"/>
                <w:caps/>
              </w:rPr>
            </w:pPr>
          </w:p>
        </w:tc>
      </w:tr>
      <w:tr>
        <w:tblPrEx>
          <w:tblLayout w:type="fixed"/>
          <w:tblCellMar>
            <w:top w:w="0" w:type="dxa"/>
            <w:left w:w="108" w:type="dxa"/>
            <w:bottom w:w="0" w:type="dxa"/>
            <w:right w:w="108" w:type="dxa"/>
          </w:tblCellMar>
        </w:tblPrEx>
        <w:trPr>
          <w:trHeight w:val="1440" w:hRule="atLeast"/>
          <w:jc w:val="center"/>
        </w:trPr>
        <w:sdt>
          <w:sdtPr>
            <w:rPr>
              <w:rFonts w:ascii="Times New Roman" w:hAnsi="Times New Roman" w:cs="Times New Roman" w:eastAsiaTheme="majorEastAsia"/>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sz w:val="80"/>
              <w:szCs w:val="80"/>
            </w:rPr>
          </w:sdtEndPr>
          <w:sdtContent>
            <w:tc>
              <w:tcPr>
                <w:tcW w:w="8522" w:type="dxa"/>
                <w:tcBorders>
                  <w:bottom w:val="single" w:color="4F81BD" w:themeColor="accent1" w:sz="4" w:space="0"/>
                </w:tcBorders>
                <w:vAlign w:val="center"/>
              </w:tcPr>
              <w:p>
                <w:pPr>
                  <w:pStyle w:val="10"/>
                  <w:jc w:val="center"/>
                  <w:rPr>
                    <w:rFonts w:ascii="Times New Roman" w:hAnsi="Times New Roman" w:cs="Times New Roman" w:eastAsiaTheme="majorEastAsia"/>
                    <w:sz w:val="80"/>
                    <w:szCs w:val="80"/>
                  </w:rPr>
                </w:pPr>
                <w:r>
                  <w:rPr>
                    <w:rFonts w:hint="eastAsia" w:ascii="Times New Roman" w:hAnsi="Times New Roman" w:cs="Times New Roman" w:eastAsiaTheme="majorEastAsia"/>
                    <w:sz w:val="80"/>
                    <w:szCs w:val="80"/>
                  </w:rPr>
                  <w:t>2017年东莞市职业介绍服务中心部门预算</w:t>
                </w:r>
              </w:p>
            </w:tc>
          </w:sdtContent>
        </w:sdt>
      </w:tr>
    </w:tbl>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spacing w:line="52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ascii="Times New Roman" w:hAnsi="Times New Roman" w:eastAsia="黑体" w:cs="Times New Roman"/>
          <w:sz w:val="32"/>
          <w:szCs w:val="32"/>
        </w:rPr>
        <w:t>部门概况</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一、部门主要职责</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二、部门决算单位构成</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三、人员情况</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7</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预算</w:t>
      </w:r>
      <w:r>
        <w:rPr>
          <w:rFonts w:ascii="Times New Roman" w:hAnsi="Times New Roman" w:eastAsia="黑体" w:cs="Times New Roman"/>
          <w:sz w:val="32"/>
          <w:szCs w:val="32"/>
        </w:rPr>
        <w:t>情况说明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一、2017年财政拨款收支预算情况说明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二、2017年一般公共预算当年财政拨款情况说明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三、2017年一般公共预算当年财政拨款基本支出情况说明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四、2017年一般公共预算“三公”经费预算情况说明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五、2017年政府性基金预算当年财政拨款支出具体情况</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六、2017年收支预算情况说明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七、其他重要事项的情况说明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八、专业名词解释</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2017年部门预算表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一、财政拨款收支总表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三、一般公共预算基本支出表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四、一般公共预算项目支出表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五、一般公共预算“三公”经费支出表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六、政府性基金预算支出表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七、部门收支总表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八、部门收入总表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九、部门支出总表</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jc w:val="center"/>
        <w:rPr>
          <w:rFonts w:ascii="黑体" w:hAnsi="黑体" w:eastAsia="黑体" w:cs="Times New Roman"/>
          <w:sz w:val="32"/>
          <w:szCs w:val="32"/>
        </w:rPr>
      </w:pPr>
      <w:r>
        <w:rPr>
          <w:rFonts w:hint="eastAsia" w:ascii="黑体" w:hAnsi="黑体" w:eastAsia="黑体" w:cs="Times New Roman"/>
          <w:sz w:val="32"/>
          <w:szCs w:val="32"/>
        </w:rPr>
        <w:t>第一部分  部门概况</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一、部门主要职责</w:t>
      </w:r>
    </w:p>
    <w:p>
      <w:pPr>
        <w:ind w:firstLine="640" w:firstLineChars="200"/>
        <w:rPr>
          <w:rFonts w:ascii="仿宋_GB2312" w:eastAsia="仿宋_GB2312"/>
          <w:sz w:val="32"/>
          <w:szCs w:val="32"/>
        </w:rPr>
      </w:pPr>
      <w:r>
        <w:rPr>
          <w:rFonts w:hint="eastAsia" w:ascii="仿宋_GB2312" w:eastAsia="仿宋_GB2312"/>
          <w:sz w:val="32"/>
          <w:szCs w:val="32"/>
        </w:rPr>
        <w:t>东莞市职业介绍服务中心是公共就业服务机构，为我市城乡失业人员，包括城镇失业人员、下岗失业人员和农村富余劳动力提供职业指导、职业介绍、岗位援助、求职登记、培训登记、政策咨询等一站式全免费公共就业服务。指导各镇街开展各项主题的招聘会活动；统计全年就业网信息发布情况，并及时对信息的真实性进行抽查，并对相关情况进行通报；组织地区、省际劳动力交流活动；并与各类型学校保持密切联系，为我市用人单位组织输送各类人才；开展各群体的专项职业指导工作。</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二、部门预算单位构成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东莞市职业介绍服务中心设事业单位1个，其中，内设0个科室、0个派出机构；设事业单位0个。</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本份部门预算仅包括</w:t>
      </w:r>
      <w:r>
        <w:rPr>
          <w:rFonts w:hint="eastAsia" w:ascii="仿宋_GB2312" w:eastAsia="仿宋_GB2312"/>
          <w:sz w:val="32"/>
          <w:szCs w:val="32"/>
        </w:rPr>
        <w:t>东莞市职业介绍服务中心</w:t>
      </w:r>
      <w:r>
        <w:rPr>
          <w:rFonts w:hint="eastAsia" w:ascii="仿宋_GB2312" w:hAnsi="Times New Roman" w:eastAsia="仿宋_GB2312" w:cs="Times New Roman"/>
          <w:sz w:val="32"/>
          <w:szCs w:val="32"/>
        </w:rPr>
        <w:t>本级预算，本部门没有下属单位单独编列预算。</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三、人员情况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w:t>
      </w:r>
      <w:r>
        <w:rPr>
          <w:rFonts w:hint="eastAsia" w:ascii="仿宋_GB2312" w:eastAsia="仿宋_GB2312"/>
          <w:sz w:val="32"/>
          <w:szCs w:val="32"/>
        </w:rPr>
        <w:t>东莞市职业介绍服务中心</w:t>
      </w:r>
      <w:r>
        <w:rPr>
          <w:rFonts w:hint="eastAsia" w:ascii="仿宋_GB2312" w:hAnsi="Times New Roman" w:eastAsia="仿宋_GB2312" w:cs="Times New Roman"/>
          <w:sz w:val="32"/>
          <w:szCs w:val="32"/>
        </w:rPr>
        <w:t>共有事业编制数35名，其中财政供养的编内实有在职人员33人。另外，有离退休1人，聘用人员4人，后勤服务人员2人。</w:t>
      </w:r>
    </w:p>
    <w:p>
      <w:pPr>
        <w:jc w:val="center"/>
        <w:rPr>
          <w:rFonts w:ascii="黑体" w:hAnsi="黑体" w:eastAsia="黑体" w:cs="Times New Roman"/>
          <w:sz w:val="32"/>
          <w:szCs w:val="32"/>
        </w:rPr>
      </w:pPr>
      <w:r>
        <w:rPr>
          <w:rFonts w:hint="eastAsia" w:ascii="黑体" w:hAnsi="黑体" w:eastAsia="黑体" w:cs="Times New Roman"/>
          <w:sz w:val="32"/>
          <w:szCs w:val="32"/>
        </w:rPr>
        <w:t>第二部分 2017年部门预算情况说明</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一、2017年财政拨款收支预算情况说明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财政拨款收支总预算1169.42万元。收入方面：一般公共预算财政拨款收入总计1050.27万元，其中，本年收入1050.27万元，年初结转119.15万元；本部门没有政府性基金预算财政拨款。支出方面：社会保障和就业支出1121.24万元，住房保障支出48.18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二、2017年一般公共预算当年财政拨款情况说明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（一）一般公共预算当年财政拨款规模变化情况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2017年，本部门一般公共预算当年财政拨款收入1050.27万元，比2016年预算数增加127.23万元，比2016年执行数减少20.99万元。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（二）一般公共预算当年财政拨款支出结构情况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2017年，本部门一般公共预算当年财政拨款支出1050.27万元，其中：社会保障和就业支出1002.09万元，占95.41%，住房保障支出48.18万元，占4.59%。</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（三）一般公共预算当年财政拨款支出具体情况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1.社会保障和就业支出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（1）人力资源和社会保障管理事务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公共就业服务和职业技能鉴定机构（科目编码：2080111）2017年预算数为1002.09万元，比2016年预算数增加111.69万元，增长12.54%。</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2．住房保障支出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（1）住房改革支出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住房公积金（科目编码：2210201）2017年预算数为48.18万元，比2016年预算数增加15.54万元，增长47.61%。</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三、2017年一般公共预算当年财政拨款基本支出情况说明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本部门2017年一般公共预算当年财政拨款基本支出802.81万元，其中：</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人员经费705.93万元，主要包括：基本工资、津贴补贴、奖金、社会保障缴费、伙食补助费、绩效工资、其他工资、福利支出、退休费、抚恤金、生活补助、医疗费、奖励金、住房公积金、提租补贴、购房补贴、其他对个人和家庭的补助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用经费96.88万元，主要包括：办公费、印刷费、咨询费、手续费、水费、电费、邮电费、差旅费、维修(护)费、租赁费、会议费、培训费、公务接待费、专用材料费、劳务费、委托业务费、工会经费、福利费、公务用车运行维护费、其他交通费、其他商品和服务支出、办公设备购置、专用设备购置。</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四、2017年一般公共预算“三公”经费预算情况说明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三公”经费预算数为12.24万元，其中：因公出国（境）费用0万元，公车购置费0万元，公车运行维护费6.12万元，公务接待费6.12万元。本部门2017年没有计划出国组团，本部门2017年没有计划出境组团，没有计划购置公车，公车保有数为2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三公”经费预算比2016年“三公”经费预算减少0.48万元，其中：因公出国（境）费用增加（减少）0万元，变化的主要原因是：与上年持平。公车购置费增加（减少）0万元，变化的主要原因是：与上年持平。公车运行维护费增加（减少）0万元，变化的主要原因是：与上年持平。公务接待费减少0.48万元，变化的主要原因是：缩减公务接待量和节约开支。</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五、2017年政府性基金预算当年财政拨款支出具体情况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本部门2017年没有使用政府性基金预算</w:t>
      </w:r>
      <w:r>
        <w:rPr>
          <w:rFonts w:hint="eastAsia" w:ascii="仿宋_GB2312" w:hAnsi="Times New Roman" w:eastAsia="仿宋_GB2312" w:cs="Times New Roman"/>
          <w:sz w:val="32"/>
          <w:szCs w:val="32"/>
          <w:lang w:eastAsia="zh-CN"/>
        </w:rPr>
        <w:t>拨</w:t>
      </w:r>
      <w:r>
        <w:rPr>
          <w:rFonts w:hint="eastAsia" w:ascii="仿宋_GB2312" w:hAnsi="Times New Roman" w:eastAsia="仿宋_GB2312" w:cs="Times New Roman"/>
          <w:sz w:val="32"/>
          <w:szCs w:val="32"/>
        </w:rPr>
        <w:t>款安排支出。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六、2017年收支预算情况说明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（一）总体情况按照综合预算的原则，本部门所有收入和支出均纳入部门预算管理。收入包括：财政拨款收入、上级补助收入、事业收入、经营</w:t>
      </w:r>
      <w:bookmarkStart w:id="1" w:name="_GoBack"/>
      <w:bookmarkEnd w:id="1"/>
      <w:r>
        <w:rPr>
          <w:rFonts w:hint="eastAsia" w:ascii="仿宋_GB2312" w:hAnsi="Times New Roman" w:eastAsia="仿宋_GB2312" w:cs="Times New Roman"/>
          <w:sz w:val="32"/>
          <w:szCs w:val="32"/>
        </w:rPr>
        <w:t>收入、附属单位上缴收入、其他收入、用事业基金弥补收支差额、年初结转和结余。支出包括：一般公共服务支出、外交支出、教育支出、文化体育与传媒支出、社会保障和就业支出、农林水支出、住房保障支出等。本部门2017年收支总预算1169.42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（二）收入预算情况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收入预算1169.42万元，其中：一般公共预算拨款收入1050.27万元，占89.81%；政府性基金预算拨款收入0万元，占0%；上级补助收入0万元，占0%；事业收入0万元，占0%；经营收入0万元，占0%；附属单位上缴收入0万元，占0%；其他收入0万元，占0%；用事业基金弥补收支差额0万元，占0%；年初结转和结余119.15万元，占10.19%。</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（三）支出预算情况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本部门2017年支出预算1169.42万元，其中：基本支出921.96万元，占78.84%；项目支出247.46万元，占21.16%；上缴上级支出0万元，占0%；经营支出0万元，占0%；对附属单位补助支出0万元，占0%。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七、其他重要事项的情况说明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（一）政府采购情况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2017年，部本级政府采购预算总额89.66万元，其中：政府采购货物预算0万元，占0%；政府采购工程预算0万元，占0%；政府采购服务预算89.66万元，占100%。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（三）国有资产占有使用情况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截止2016年底，本部门所属各预算单位共有车辆2辆，其中：一般公务用车2辆、一般执法执勤用车0辆、特种专业技术用车0辆、其他用车0辆。单位价值200万元以上大型设备0台（套）。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2017年部门预算安排购置车辆0辆、单位价值200万元以上大型设备0台（套）。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（四）绩效目标设置情况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2017年本部门实行绩效目标管理的项目共0个，涉及一般公共预算当年拨款0万元。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八、专业名词解释</w:t>
      </w:r>
    </w:p>
    <w:p>
      <w:pPr>
        <w:ind w:firstLine="640" w:firstLineChars="200"/>
        <w:rPr>
          <w:rFonts w:ascii="仿宋_GB2312" w:hAnsi="Times New Roman" w:eastAsia="仿宋_GB2312" w:cs="Times New Roman"/>
          <w:sz w:val="32"/>
          <w:szCs w:val="32"/>
        </w:rPr>
      </w:pPr>
      <w:bookmarkStart w:id="0" w:name="4"/>
      <w:r>
        <w:rPr>
          <w:rFonts w:ascii="仿宋_GB2312" w:hAnsi="Times New Roman" w:eastAsia="仿宋_GB2312" w:cs="Times New Roman"/>
          <w:sz w:val="32"/>
          <w:szCs w:val="32"/>
        </w:rPr>
        <w:t>财政拨款收入：指</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财政当年拨付的资金。</w:t>
      </w:r>
      <w:bookmarkEnd w:id="0"/>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事业收入：指事业单位开展专业业务活动及辅助活动所取得的收入。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其他收入：指除上述</w:t>
      </w:r>
      <w:r>
        <w:rPr>
          <w:rFonts w:hint="eastAsia" w:ascii="仿宋_GB2312" w:hAnsi="Times New Roman" w:eastAsia="仿宋_GB2312" w:cs="Times New Roman"/>
          <w:sz w:val="32"/>
          <w:szCs w:val="32"/>
        </w:rPr>
        <w:t>“财政拨款收入”、“事业收入”等</w:t>
      </w:r>
      <w:r>
        <w:rPr>
          <w:rFonts w:ascii="仿宋_GB2312" w:hAnsi="Times New Roman" w:eastAsia="仿宋_GB2312" w:cs="Times New Roman"/>
          <w:sz w:val="32"/>
          <w:szCs w:val="32"/>
        </w:rPr>
        <w:t>以外的收入。</w:t>
      </w:r>
      <w:r>
        <w:rPr>
          <w:rFonts w:hint="eastAsia" w:ascii="仿宋_GB2312" w:hAnsi="Times New Roman" w:eastAsia="仿宋_GB2312" w:cs="Times New Roman"/>
          <w:sz w:val="32"/>
          <w:szCs w:val="32"/>
        </w:rPr>
        <w:t>主要是银行</w:t>
      </w:r>
      <w:r>
        <w:rPr>
          <w:rFonts w:ascii="仿宋_GB2312" w:hAnsi="Times New Roman" w:eastAsia="仿宋_GB2312" w:cs="Times New Roman"/>
          <w:sz w:val="32"/>
          <w:szCs w:val="32"/>
        </w:rPr>
        <w:t>存款利息收入等。</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用事业基金弥补收支差额：指事业单位在当年的</w:t>
      </w:r>
      <w:r>
        <w:rPr>
          <w:rFonts w:hint="eastAsia" w:ascii="仿宋_GB2312" w:hAnsi="Times New Roman" w:eastAsia="仿宋_GB2312" w:cs="Times New Roman"/>
          <w:sz w:val="32"/>
          <w:szCs w:val="32"/>
        </w:rPr>
        <w:t>“财政拨款收入”、“事业收入”、“经营收入”、“其他收入”</w:t>
      </w:r>
      <w:r>
        <w:rPr>
          <w:rFonts w:ascii="仿宋_GB2312" w:hAnsi="Times New Roman" w:eastAsia="仿宋_GB2312" w:cs="Times New Roman"/>
          <w:sz w:val="32"/>
          <w:szCs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w:t>
      </w:r>
      <w:r>
        <w:rPr>
          <w:rFonts w:ascii="仿宋_GB2312" w:hAnsi="Times New Roman" w:eastAsia="仿宋_GB2312" w:cs="Times New Roman"/>
          <w:sz w:val="32"/>
          <w:szCs w:val="32"/>
        </w:rPr>
        <w:t>结转和结余：指以前年度尚未完成、结转到本年按有关规定继续使用的资金。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年末结转和结余：指本年度或以前年度预算安排、因客观条件发生变化无法按原计划实施，需要延迟到以后年度按有关规定继续使用的资金。</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基本支出：指为保障机构正常运转、完成日常工作任务而发生的人员支出和公用支出。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项目支出：指在基本支出之外为完成特定行政任务和事业发展目标所发生的支出</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纳入市财政预决算管理的“三公”经费，</w:t>
      </w:r>
      <w:r>
        <w:rPr>
          <w:rFonts w:ascii="仿宋_GB2312" w:hAnsi="Times New Roman" w:eastAsia="仿宋_GB2312" w:cs="Times New Roman"/>
          <w:sz w:val="32"/>
          <w:szCs w:val="32"/>
        </w:rPr>
        <w:t>是指本部门</w:t>
      </w:r>
      <w:r>
        <w:rPr>
          <w:rFonts w:hint="eastAsia" w:ascii="仿宋_GB2312" w:hAnsi="Times New Roman" w:eastAsia="仿宋_GB2312" w:cs="Times New Roman"/>
          <w:sz w:val="32"/>
          <w:szCs w:val="32"/>
        </w:rPr>
        <w:t>用</w:t>
      </w:r>
      <w:r>
        <w:rPr>
          <w:rFonts w:ascii="仿宋_GB2312" w:hAnsi="Times New Roman" w:eastAsia="仿宋_GB2312" w:cs="Times New Roman"/>
          <w:sz w:val="32"/>
          <w:szCs w:val="32"/>
        </w:rPr>
        <w:t>财政拨款安排的因公出国（境）费、公务用车购置及运行费和公务接待费。其中，因公出国（境）费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单位公务出国（境）的</w:t>
      </w:r>
      <w:r>
        <w:rPr>
          <w:rFonts w:hint="eastAsia" w:ascii="仿宋_GB2312" w:hAnsi="Times New Roman" w:eastAsia="仿宋_GB2312" w:cs="Times New Roman"/>
          <w:sz w:val="32"/>
          <w:szCs w:val="32"/>
        </w:rPr>
        <w:t>国际</w:t>
      </w:r>
      <w:r>
        <w:rPr>
          <w:rFonts w:ascii="仿宋_GB2312" w:hAnsi="Times New Roman" w:eastAsia="仿宋_GB2312" w:cs="Times New Roman"/>
          <w:sz w:val="32"/>
          <w:szCs w:val="32"/>
        </w:rPr>
        <w:t>旅费、</w:t>
      </w:r>
      <w:r>
        <w:rPr>
          <w:rFonts w:hint="eastAsia" w:ascii="仿宋_GB2312" w:hAnsi="Times New Roman" w:eastAsia="仿宋_GB2312" w:cs="Times New Roman"/>
          <w:sz w:val="32"/>
          <w:szCs w:val="32"/>
        </w:rPr>
        <w:t>国外城市间交通费、住宿费、伙食费、培训费、公杂费</w:t>
      </w:r>
      <w:r>
        <w:rPr>
          <w:rFonts w:ascii="仿宋_GB2312" w:hAnsi="Times New Roman" w:eastAsia="仿宋_GB2312" w:cs="Times New Roman"/>
          <w:sz w:val="32"/>
          <w:szCs w:val="32"/>
        </w:rPr>
        <w:t>等支出；公务用车购置及运行费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单位公务用车</w:t>
      </w:r>
      <w:r>
        <w:rPr>
          <w:rFonts w:hint="eastAsia" w:ascii="仿宋_GB2312" w:hAnsi="Times New Roman" w:eastAsia="仿宋_GB2312" w:cs="Times New Roman"/>
          <w:sz w:val="32"/>
          <w:szCs w:val="32"/>
        </w:rPr>
        <w:t>车辆</w:t>
      </w:r>
      <w:r>
        <w:rPr>
          <w:rFonts w:ascii="仿宋_GB2312" w:hAnsi="Times New Roman" w:eastAsia="仿宋_GB2312" w:cs="Times New Roman"/>
          <w:sz w:val="32"/>
          <w:szCs w:val="32"/>
        </w:rPr>
        <w:t>购置</w:t>
      </w:r>
      <w:r>
        <w:rPr>
          <w:rFonts w:hint="eastAsia" w:ascii="仿宋_GB2312" w:hAnsi="Times New Roman" w:eastAsia="仿宋_GB2312" w:cs="Times New Roman"/>
          <w:sz w:val="32"/>
          <w:szCs w:val="32"/>
        </w:rPr>
        <w:t>支出（含车辆购置税）</w:t>
      </w:r>
      <w:r>
        <w:rPr>
          <w:rFonts w:ascii="仿宋_GB2312" w:hAnsi="Times New Roman" w:eastAsia="仿宋_GB2312" w:cs="Times New Roman"/>
          <w:sz w:val="32"/>
          <w:szCs w:val="32"/>
        </w:rPr>
        <w:t>及租用费、燃料费、维修费、过路过桥费、保险费等支出；公务接待费指单位按规定开支的各类公务接待（含外宾接待）支出。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第三部分 2017年部门预算表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请参见附件。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表号</w:t>
            </w:r>
          </w:p>
        </w:tc>
        <w:tc>
          <w:tcPr>
            <w:tcW w:w="6854"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p>
        </w:tc>
        <w:tc>
          <w:tcPr>
            <w:tcW w:w="6854" w:type="dxa"/>
          </w:tcPr>
          <w:p>
            <w:pPr>
              <w:spacing w:line="52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二</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三</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四</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一般公共预算项目支出表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六</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七</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部门收支总表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八</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部门收入总表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w:t>
            </w:r>
          </w:p>
        </w:tc>
        <w:tc>
          <w:tcPr>
            <w:tcW w:w="6854"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部门支出总表</w:t>
            </w:r>
          </w:p>
        </w:tc>
      </w:tr>
    </w:tbl>
    <w:p>
      <w:pPr>
        <w:ind w:firstLine="640" w:firstLineChars="200"/>
        <w:rPr>
          <w:rFonts w:ascii="仿宋_GB2312" w:hAnsi="Times New Roman"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56"/>
    <w:rsid w:val="00033CB8"/>
    <w:rsid w:val="00111587"/>
    <w:rsid w:val="0013403F"/>
    <w:rsid w:val="0016094E"/>
    <w:rsid w:val="00166637"/>
    <w:rsid w:val="001A5C55"/>
    <w:rsid w:val="001F21CD"/>
    <w:rsid w:val="00200332"/>
    <w:rsid w:val="00230C4E"/>
    <w:rsid w:val="00237E1D"/>
    <w:rsid w:val="00275163"/>
    <w:rsid w:val="002F0AD2"/>
    <w:rsid w:val="00304FD5"/>
    <w:rsid w:val="0039558C"/>
    <w:rsid w:val="003D4705"/>
    <w:rsid w:val="004043A7"/>
    <w:rsid w:val="00410F20"/>
    <w:rsid w:val="005515C7"/>
    <w:rsid w:val="00596E10"/>
    <w:rsid w:val="005C5FB4"/>
    <w:rsid w:val="005F4756"/>
    <w:rsid w:val="006371E6"/>
    <w:rsid w:val="00677047"/>
    <w:rsid w:val="006E40DB"/>
    <w:rsid w:val="00792A1F"/>
    <w:rsid w:val="007F477F"/>
    <w:rsid w:val="00844433"/>
    <w:rsid w:val="00876ABE"/>
    <w:rsid w:val="00877A09"/>
    <w:rsid w:val="009001C4"/>
    <w:rsid w:val="00981FBD"/>
    <w:rsid w:val="00986A11"/>
    <w:rsid w:val="009E3C6A"/>
    <w:rsid w:val="00BC50A1"/>
    <w:rsid w:val="00BE5AEE"/>
    <w:rsid w:val="00C10AA5"/>
    <w:rsid w:val="00CA720C"/>
    <w:rsid w:val="00D1264E"/>
    <w:rsid w:val="00DB4E3A"/>
    <w:rsid w:val="00E268AD"/>
    <w:rsid w:val="00E510A0"/>
    <w:rsid w:val="00E746B6"/>
    <w:rsid w:val="00EB2BF8"/>
    <w:rsid w:val="00F85556"/>
    <w:rsid w:val="00FA37D4"/>
    <w:rsid w:val="0245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 w:type="paragraph" w:customStyle="1"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5"/>
    <w:link w:val="10"/>
    <w:uiPriority w:val="1"/>
    <w:rPr>
      <w:kern w:val="0"/>
      <w:sz w:val="22"/>
    </w:rPr>
  </w:style>
  <w:style w:type="character" w:customStyle="1" w:styleId="12">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579</Words>
  <Characters>3304</Characters>
  <Lines>27</Lines>
  <Paragraphs>7</Paragraphs>
  <ScaleCrop>false</ScaleCrop>
  <LinksUpToDate>false</LinksUpToDate>
  <CharactersWithSpaces>3876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2017-02-16T08:51:00Z</dcterms:created>
  <dc:creator>Chinese User</dc:creator>
  <cp:lastModifiedBy>Administrator</cp:lastModifiedBy>
  <cp:lastPrinted>2017-02-16T02:20:00Z</cp:lastPrinted>
  <dcterms:modified xsi:type="dcterms:W3CDTF">2021-03-23T07:42:19Z</dcterms:modified>
  <dc:title>2017年东莞市职业介绍服务中心部门预算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