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61" w:rsidRPr="00E310A5" w:rsidRDefault="00EC5961" w:rsidP="00EC5961">
      <w:pPr>
        <w:rPr>
          <w:rFonts w:ascii="Times New Roman" w:eastAsia="仿宋_GB2312" w:hAnsi="Times New Roman" w:cs="Times New Roman"/>
          <w:sz w:val="32"/>
          <w:szCs w:val="32"/>
        </w:rPr>
      </w:pPr>
    </w:p>
    <w:p w:rsidR="005732E7" w:rsidRPr="00E310A5" w:rsidRDefault="00EC5961" w:rsidP="00EC5961">
      <w:pPr>
        <w:spacing w:line="620" w:lineRule="exact"/>
        <w:jc w:val="center"/>
        <w:rPr>
          <w:rFonts w:ascii="Times New Roman" w:eastAsia="方正小标宋简体" w:hAnsi="Times New Roman" w:cs="Times New Roman"/>
          <w:sz w:val="44"/>
          <w:szCs w:val="44"/>
        </w:rPr>
      </w:pPr>
      <w:r w:rsidRPr="00E310A5">
        <w:rPr>
          <w:rFonts w:ascii="Times New Roman" w:eastAsia="方正小标宋简体" w:hAnsi="Times New Roman" w:cs="Times New Roman"/>
          <w:sz w:val="44"/>
          <w:szCs w:val="44"/>
        </w:rPr>
        <w:t>2014</w:t>
      </w:r>
      <w:r w:rsidRPr="00E310A5">
        <w:rPr>
          <w:rFonts w:ascii="Times New Roman" w:eastAsia="方正小标宋简体" w:hAnsi="Times New Roman" w:cs="Times New Roman"/>
          <w:sz w:val="44"/>
          <w:szCs w:val="44"/>
        </w:rPr>
        <w:t>年</w:t>
      </w:r>
      <w:r w:rsidR="002E2B10" w:rsidRPr="00E310A5">
        <w:rPr>
          <w:rFonts w:ascii="Times New Roman" w:eastAsia="方正小标宋简体" w:hAnsi="Times New Roman" w:cs="Times New Roman"/>
          <w:sz w:val="44"/>
          <w:szCs w:val="44"/>
        </w:rPr>
        <w:t>东莞市职业训练指导中心</w:t>
      </w:r>
    </w:p>
    <w:p w:rsidR="00EC5961" w:rsidRPr="00E310A5" w:rsidRDefault="00EC5961" w:rsidP="00EC5961">
      <w:pPr>
        <w:spacing w:line="620" w:lineRule="exact"/>
        <w:jc w:val="center"/>
        <w:rPr>
          <w:rFonts w:ascii="Times New Roman" w:eastAsia="方正小标宋简体" w:hAnsi="Times New Roman" w:cs="Times New Roman"/>
          <w:sz w:val="44"/>
          <w:szCs w:val="44"/>
        </w:rPr>
      </w:pPr>
      <w:r w:rsidRPr="00E310A5">
        <w:rPr>
          <w:rFonts w:ascii="Times New Roman" w:eastAsia="方正小标宋简体" w:hAnsi="Times New Roman" w:cs="Times New Roman"/>
          <w:sz w:val="44"/>
          <w:szCs w:val="44"/>
        </w:rPr>
        <w:t>部门决算情况说明</w:t>
      </w:r>
    </w:p>
    <w:p w:rsidR="00EC5961" w:rsidRPr="00E310A5" w:rsidRDefault="00EC5961" w:rsidP="00EC5961">
      <w:pPr>
        <w:rPr>
          <w:rFonts w:ascii="Times New Roman" w:eastAsia="仿宋_GB2312" w:hAnsi="Times New Roman" w:cs="Times New Roman"/>
          <w:sz w:val="32"/>
          <w:szCs w:val="32"/>
        </w:rPr>
      </w:pPr>
      <w:r w:rsidRPr="00E310A5">
        <w:rPr>
          <w:rFonts w:ascii="Times New Roman" w:eastAsia="仿宋_GB2312" w:hAnsi="Times New Roman" w:cs="Times New Roman"/>
          <w:sz w:val="32"/>
          <w:szCs w:val="32"/>
        </w:rPr>
        <w:tab/>
      </w:r>
    </w:p>
    <w:p w:rsidR="00EC5961" w:rsidRPr="00E310A5" w:rsidRDefault="00EC5961" w:rsidP="00F42523">
      <w:pPr>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一、部门基本情况</w:t>
      </w:r>
    </w:p>
    <w:p w:rsidR="00EC5961" w:rsidRPr="00E310A5" w:rsidRDefault="00EC5961" w:rsidP="00EC5961">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东莞市</w:t>
      </w:r>
      <w:r w:rsidR="002E2B10" w:rsidRPr="00E310A5">
        <w:rPr>
          <w:rFonts w:ascii="Times New Roman" w:eastAsia="仿宋_GB2312" w:hAnsi="Times New Roman" w:cs="Times New Roman"/>
          <w:color w:val="262626" w:themeColor="text1" w:themeTint="D9"/>
          <w:sz w:val="32"/>
          <w:szCs w:val="32"/>
        </w:rPr>
        <w:t>职业训练指导中心</w:t>
      </w:r>
      <w:r w:rsidR="00E37BF6" w:rsidRPr="00E310A5">
        <w:rPr>
          <w:rFonts w:ascii="Times New Roman" w:eastAsia="仿宋_GB2312" w:hAnsi="Times New Roman" w:cs="Times New Roman"/>
          <w:color w:val="262626" w:themeColor="text1" w:themeTint="D9"/>
          <w:sz w:val="32"/>
          <w:szCs w:val="32"/>
        </w:rPr>
        <w:t>为正科级事业单位，归口市人力资源局管理，人员经费由市财政全额核拔。</w:t>
      </w:r>
    </w:p>
    <w:p w:rsidR="00EC5961" w:rsidRPr="00E310A5" w:rsidRDefault="00EC5961" w:rsidP="00F42523">
      <w:pPr>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二、主要职能</w:t>
      </w:r>
    </w:p>
    <w:p w:rsidR="007764C0" w:rsidRPr="00E310A5" w:rsidRDefault="007764C0" w:rsidP="00A762F0">
      <w:pPr>
        <w:snapToGrid w:val="0"/>
        <w:spacing w:line="600" w:lineRule="exact"/>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EC5961" w:rsidRPr="00E310A5" w:rsidRDefault="00EC5961" w:rsidP="00F42523">
      <w:pPr>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三、人员情况</w:t>
      </w:r>
    </w:p>
    <w:p w:rsidR="0063304A" w:rsidRPr="00E310A5" w:rsidRDefault="0063304A" w:rsidP="0063304A">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至</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年底，东莞市</w:t>
      </w:r>
      <w:r w:rsidR="002E2B10" w:rsidRPr="00E310A5">
        <w:rPr>
          <w:rFonts w:ascii="Times New Roman" w:eastAsia="仿宋_GB2312" w:hAnsi="Times New Roman" w:cs="Times New Roman"/>
          <w:color w:val="262626" w:themeColor="text1" w:themeTint="D9"/>
          <w:sz w:val="32"/>
          <w:szCs w:val="32"/>
        </w:rPr>
        <w:t>职业训练指导中心</w:t>
      </w:r>
      <w:r w:rsidRPr="00E310A5">
        <w:rPr>
          <w:rFonts w:ascii="Times New Roman" w:eastAsia="仿宋_GB2312" w:hAnsi="Times New Roman" w:cs="Times New Roman"/>
          <w:color w:val="262626" w:themeColor="text1" w:themeTint="D9"/>
          <w:sz w:val="32"/>
          <w:szCs w:val="32"/>
        </w:rPr>
        <w:t>共有事业编制数</w:t>
      </w:r>
      <w:r w:rsidR="002E2B10" w:rsidRPr="00E310A5">
        <w:rPr>
          <w:rFonts w:ascii="Times New Roman" w:eastAsia="仿宋_GB2312" w:hAnsi="Times New Roman" w:cs="Times New Roman"/>
          <w:color w:val="262626" w:themeColor="text1" w:themeTint="D9"/>
          <w:sz w:val="32"/>
          <w:szCs w:val="32"/>
        </w:rPr>
        <w:t>23</w:t>
      </w:r>
      <w:r w:rsidRPr="00E310A5">
        <w:rPr>
          <w:rFonts w:ascii="Times New Roman" w:eastAsia="仿宋_GB2312" w:hAnsi="Times New Roman" w:cs="Times New Roman"/>
          <w:color w:val="262626" w:themeColor="text1" w:themeTint="D9"/>
          <w:sz w:val="32"/>
          <w:szCs w:val="32"/>
        </w:rPr>
        <w:t>名，其中财政供养的编内实有在职人员</w:t>
      </w:r>
      <w:r w:rsidR="002E2B10" w:rsidRPr="00E310A5">
        <w:rPr>
          <w:rFonts w:ascii="Times New Roman" w:eastAsia="仿宋_GB2312" w:hAnsi="Times New Roman" w:cs="Times New Roman"/>
          <w:color w:val="262626" w:themeColor="text1" w:themeTint="D9"/>
          <w:sz w:val="32"/>
          <w:szCs w:val="32"/>
        </w:rPr>
        <w:t>2</w:t>
      </w:r>
      <w:r w:rsidR="007764C0" w:rsidRPr="00E310A5">
        <w:rPr>
          <w:rFonts w:ascii="Times New Roman" w:eastAsia="仿宋_GB2312" w:hAnsi="Times New Roman" w:cs="Times New Roman"/>
          <w:color w:val="262626" w:themeColor="text1" w:themeTint="D9"/>
          <w:sz w:val="32"/>
          <w:szCs w:val="32"/>
        </w:rPr>
        <w:t>2</w:t>
      </w:r>
      <w:r w:rsidRPr="00E310A5">
        <w:rPr>
          <w:rFonts w:ascii="Times New Roman" w:eastAsia="仿宋_GB2312" w:hAnsi="Times New Roman" w:cs="Times New Roman"/>
          <w:color w:val="262626" w:themeColor="text1" w:themeTint="D9"/>
          <w:sz w:val="32"/>
          <w:szCs w:val="32"/>
        </w:rPr>
        <w:t>人。另外，有离退休</w:t>
      </w:r>
      <w:r w:rsidR="002E2B10" w:rsidRPr="00E310A5">
        <w:rPr>
          <w:rFonts w:ascii="Times New Roman" w:eastAsia="仿宋_GB2312" w:hAnsi="Times New Roman" w:cs="Times New Roman"/>
          <w:color w:val="262626" w:themeColor="text1" w:themeTint="D9"/>
          <w:sz w:val="32"/>
          <w:szCs w:val="32"/>
        </w:rPr>
        <w:t>3</w:t>
      </w:r>
      <w:r w:rsidRPr="00E310A5">
        <w:rPr>
          <w:rFonts w:ascii="Times New Roman" w:eastAsia="仿宋_GB2312" w:hAnsi="Times New Roman" w:cs="Times New Roman"/>
          <w:color w:val="262626" w:themeColor="text1" w:themeTint="D9"/>
          <w:sz w:val="32"/>
          <w:szCs w:val="32"/>
        </w:rPr>
        <w:t>人，聘用人员</w:t>
      </w:r>
      <w:r w:rsidR="002E2B10" w:rsidRPr="00E310A5">
        <w:rPr>
          <w:rFonts w:ascii="Times New Roman" w:eastAsia="仿宋_GB2312" w:hAnsi="Times New Roman" w:cs="Times New Roman"/>
          <w:color w:val="262626" w:themeColor="text1" w:themeTint="D9"/>
          <w:sz w:val="32"/>
          <w:szCs w:val="32"/>
        </w:rPr>
        <w:t>3</w:t>
      </w:r>
      <w:r w:rsidRPr="00E310A5">
        <w:rPr>
          <w:rFonts w:ascii="Times New Roman" w:eastAsia="仿宋_GB2312" w:hAnsi="Times New Roman" w:cs="Times New Roman"/>
          <w:color w:val="262626" w:themeColor="text1" w:themeTint="D9"/>
          <w:sz w:val="32"/>
          <w:szCs w:val="32"/>
        </w:rPr>
        <w:t>人，后勤服务人员</w:t>
      </w:r>
      <w:r w:rsidR="002E2B10" w:rsidRPr="00E310A5">
        <w:rPr>
          <w:rFonts w:ascii="Times New Roman" w:eastAsia="仿宋_GB2312" w:hAnsi="Times New Roman" w:cs="Times New Roman"/>
          <w:color w:val="262626" w:themeColor="text1" w:themeTint="D9"/>
          <w:sz w:val="32"/>
          <w:szCs w:val="32"/>
        </w:rPr>
        <w:t>2</w:t>
      </w:r>
      <w:r w:rsidRPr="00E310A5">
        <w:rPr>
          <w:rFonts w:ascii="Times New Roman" w:eastAsia="仿宋_GB2312" w:hAnsi="Times New Roman" w:cs="Times New Roman"/>
          <w:color w:val="262626" w:themeColor="text1" w:themeTint="D9"/>
          <w:sz w:val="32"/>
          <w:szCs w:val="32"/>
        </w:rPr>
        <w:t>人。</w:t>
      </w:r>
    </w:p>
    <w:p w:rsidR="0063304A" w:rsidRPr="00E310A5" w:rsidRDefault="0063304A" w:rsidP="0063304A">
      <w:pPr>
        <w:ind w:firstLineChars="200" w:firstLine="640"/>
        <w:rPr>
          <w:rFonts w:ascii="Times New Roman" w:eastAsia="黑体" w:hAnsi="黑体"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四、决算年度主要工作任务</w:t>
      </w:r>
    </w:p>
    <w:p w:rsidR="00F330B3" w:rsidRPr="00E310A5" w:rsidRDefault="0063304A" w:rsidP="00F330B3">
      <w:pPr>
        <w:ind w:firstLineChars="200" w:firstLine="640"/>
        <w:outlineLvl w:val="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lastRenderedPageBreak/>
        <w:t>2014</w:t>
      </w:r>
      <w:r w:rsidRPr="00E310A5">
        <w:rPr>
          <w:rFonts w:ascii="Times New Roman" w:eastAsia="仿宋_GB2312" w:hAnsi="Times New Roman" w:cs="Times New Roman"/>
          <w:color w:val="262626" w:themeColor="text1" w:themeTint="D9"/>
          <w:sz w:val="32"/>
          <w:szCs w:val="32"/>
        </w:rPr>
        <w:t>年，本单位主要完成以下工作任务：</w:t>
      </w:r>
      <w:r w:rsidR="00F330B3" w:rsidRPr="00E310A5">
        <w:rPr>
          <w:rFonts w:ascii="Times New Roman" w:eastAsia="仿宋_GB2312" w:hAnsi="Times New Roman" w:cs="Times New Roman"/>
          <w:color w:val="262626" w:themeColor="text1" w:themeTint="D9"/>
          <w:sz w:val="32"/>
          <w:szCs w:val="32"/>
        </w:rPr>
        <w:t>以加快高技能人才培养为目标，狠抓基础，力争职业训练指导事业</w:t>
      </w:r>
      <w:r w:rsidR="002932B5">
        <w:rPr>
          <w:rFonts w:ascii="Times New Roman" w:eastAsia="仿宋_GB2312" w:hAnsi="Times New Roman" w:cs="Times New Roman" w:hint="eastAsia"/>
          <w:color w:val="262626" w:themeColor="text1" w:themeTint="D9"/>
          <w:sz w:val="32"/>
          <w:szCs w:val="32"/>
        </w:rPr>
        <w:t>取得新进展，迈上新台阶</w:t>
      </w:r>
      <w:r w:rsidR="002932B5">
        <w:rPr>
          <w:rFonts w:ascii="Times New Roman" w:eastAsia="仿宋_GB2312" w:hAnsi="Times New Roman" w:cs="Times New Roman"/>
          <w:color w:val="262626" w:themeColor="text1" w:themeTint="D9"/>
          <w:sz w:val="32"/>
          <w:szCs w:val="32"/>
        </w:rPr>
        <w:t>，为</w:t>
      </w:r>
      <w:r w:rsidR="002932B5">
        <w:rPr>
          <w:rFonts w:ascii="Times New Roman" w:eastAsia="仿宋_GB2312" w:hAnsi="Times New Roman" w:cs="Times New Roman" w:hint="eastAsia"/>
          <w:color w:val="262626" w:themeColor="text1" w:themeTint="D9"/>
          <w:sz w:val="32"/>
          <w:szCs w:val="32"/>
        </w:rPr>
        <w:t>发展</w:t>
      </w:r>
      <w:r w:rsidR="002932B5">
        <w:rPr>
          <w:rFonts w:ascii="Times New Roman" w:eastAsia="仿宋_GB2312" w:hAnsi="Times New Roman" w:cs="Times New Roman"/>
          <w:color w:val="262626" w:themeColor="text1" w:themeTint="D9"/>
          <w:sz w:val="32"/>
          <w:szCs w:val="32"/>
        </w:rPr>
        <w:t>我市人力资源事业</w:t>
      </w:r>
      <w:r w:rsidR="00F330B3" w:rsidRPr="00E310A5">
        <w:rPr>
          <w:rFonts w:ascii="Times New Roman" w:eastAsia="仿宋_GB2312" w:hAnsi="Times New Roman" w:cs="Times New Roman"/>
          <w:color w:val="262626" w:themeColor="text1" w:themeTint="D9"/>
          <w:sz w:val="32"/>
          <w:szCs w:val="32"/>
        </w:rPr>
        <w:t>发挥应有作用。</w:t>
      </w:r>
    </w:p>
    <w:p w:rsidR="002932B5" w:rsidRDefault="002932B5" w:rsidP="00F330B3">
      <w:pPr>
        <w:spacing w:line="580" w:lineRule="exact"/>
        <w:ind w:firstLineChars="200" w:firstLine="640"/>
        <w:rPr>
          <w:rFonts w:ascii="Times New Roman" w:eastAsia="仿宋_GB2312" w:hAnsi="Times New Roman" w:cs="Times New Roman"/>
          <w:color w:val="262626" w:themeColor="text1" w:themeTint="D9"/>
          <w:sz w:val="32"/>
          <w:szCs w:val="32"/>
        </w:rPr>
      </w:pPr>
      <w:r>
        <w:rPr>
          <w:rFonts w:ascii="Times New Roman" w:eastAsia="仿宋_GB2312" w:hAnsi="Times New Roman" w:cs="Times New Roman"/>
          <w:color w:val="262626" w:themeColor="text1" w:themeTint="D9"/>
          <w:sz w:val="32"/>
          <w:szCs w:val="32"/>
        </w:rPr>
        <w:t>（一）</w:t>
      </w:r>
      <w:r w:rsidRPr="00072A44">
        <w:rPr>
          <w:rFonts w:ascii="Times New Roman" w:eastAsia="仿宋_GB2312" w:hAnsi="Times New Roman" w:cs="Times New Roman" w:hint="eastAsia"/>
          <w:b/>
          <w:color w:val="262626" w:themeColor="text1" w:themeTint="D9"/>
          <w:sz w:val="32"/>
          <w:szCs w:val="32"/>
        </w:rPr>
        <w:t>以考促培。</w:t>
      </w:r>
      <w:r>
        <w:rPr>
          <w:rFonts w:ascii="Times New Roman" w:eastAsia="仿宋_GB2312" w:hAnsi="Times New Roman" w:cs="Times New Roman"/>
          <w:color w:val="262626" w:themeColor="text1" w:themeTint="D9"/>
          <w:sz w:val="32"/>
          <w:szCs w:val="32"/>
        </w:rPr>
        <w:t>加强工作力度，努力扩大</w:t>
      </w:r>
      <w:r>
        <w:rPr>
          <w:rFonts w:ascii="Times New Roman" w:eastAsia="仿宋_GB2312" w:hAnsi="Times New Roman" w:cs="Times New Roman" w:hint="eastAsia"/>
          <w:color w:val="262626" w:themeColor="text1" w:themeTint="D9"/>
          <w:sz w:val="32"/>
          <w:szCs w:val="32"/>
        </w:rPr>
        <w:t>职业培训</w:t>
      </w:r>
      <w:proofErr w:type="gramStart"/>
      <w:r>
        <w:rPr>
          <w:rFonts w:ascii="Times New Roman" w:eastAsia="仿宋_GB2312" w:hAnsi="Times New Roman" w:cs="Times New Roman" w:hint="eastAsia"/>
          <w:color w:val="262626" w:themeColor="text1" w:themeTint="D9"/>
          <w:sz w:val="32"/>
          <w:szCs w:val="32"/>
        </w:rPr>
        <w:t>鉴定面</w:t>
      </w:r>
      <w:proofErr w:type="gramEnd"/>
      <w:r w:rsidR="00F330B3" w:rsidRPr="00E310A5">
        <w:rPr>
          <w:rFonts w:ascii="Times New Roman" w:eastAsia="仿宋_GB2312" w:hAnsi="Times New Roman" w:cs="Times New Roman"/>
          <w:color w:val="262626" w:themeColor="text1" w:themeTint="D9"/>
          <w:sz w:val="32"/>
          <w:szCs w:val="32"/>
        </w:rPr>
        <w:t>和</w:t>
      </w:r>
      <w:r>
        <w:rPr>
          <w:rFonts w:ascii="Times New Roman" w:eastAsia="仿宋_GB2312" w:hAnsi="Times New Roman" w:cs="Times New Roman" w:hint="eastAsia"/>
          <w:color w:val="262626" w:themeColor="text1" w:themeTint="D9"/>
          <w:sz w:val="32"/>
          <w:szCs w:val="32"/>
        </w:rPr>
        <w:t>丰富培训鉴定</w:t>
      </w:r>
      <w:r>
        <w:rPr>
          <w:rFonts w:ascii="Times New Roman" w:eastAsia="仿宋_GB2312" w:hAnsi="Times New Roman" w:cs="Times New Roman"/>
          <w:color w:val="262626" w:themeColor="text1" w:themeTint="D9"/>
          <w:sz w:val="32"/>
          <w:szCs w:val="32"/>
        </w:rPr>
        <w:t>层次，</w:t>
      </w:r>
      <w:r>
        <w:rPr>
          <w:rFonts w:ascii="Times New Roman" w:eastAsia="仿宋_GB2312" w:hAnsi="Times New Roman" w:cs="Times New Roman" w:hint="eastAsia"/>
          <w:color w:val="262626" w:themeColor="text1" w:themeTint="D9"/>
          <w:sz w:val="32"/>
          <w:szCs w:val="32"/>
        </w:rPr>
        <w:t>实现职业培训鉴定</w:t>
      </w:r>
      <w:r w:rsidR="00F330B3" w:rsidRPr="00E310A5">
        <w:rPr>
          <w:rFonts w:ascii="Times New Roman" w:eastAsia="仿宋_GB2312" w:hAnsi="Times New Roman" w:cs="Times New Roman"/>
          <w:color w:val="262626" w:themeColor="text1" w:themeTint="D9"/>
          <w:sz w:val="32"/>
          <w:szCs w:val="32"/>
        </w:rPr>
        <w:t>质量与</w:t>
      </w:r>
      <w:proofErr w:type="gramStart"/>
      <w:r w:rsidR="00F330B3" w:rsidRPr="00E310A5">
        <w:rPr>
          <w:rFonts w:ascii="Times New Roman" w:eastAsia="仿宋_GB2312" w:hAnsi="Times New Roman" w:cs="Times New Roman"/>
          <w:color w:val="262626" w:themeColor="text1" w:themeTint="D9"/>
          <w:sz w:val="32"/>
          <w:szCs w:val="32"/>
        </w:rPr>
        <w:t>数量双</w:t>
      </w:r>
      <w:proofErr w:type="gramEnd"/>
      <w:r>
        <w:rPr>
          <w:rFonts w:ascii="Times New Roman" w:eastAsia="仿宋_GB2312" w:hAnsi="Times New Roman" w:cs="Times New Roman" w:hint="eastAsia"/>
          <w:color w:val="262626" w:themeColor="text1" w:themeTint="D9"/>
          <w:sz w:val="32"/>
          <w:szCs w:val="32"/>
        </w:rPr>
        <w:t>提升</w:t>
      </w:r>
      <w:r>
        <w:rPr>
          <w:rFonts w:ascii="Times New Roman" w:eastAsia="仿宋_GB2312" w:hAnsi="Times New Roman" w:cs="Times New Roman"/>
          <w:color w:val="262626" w:themeColor="text1" w:themeTint="D9"/>
          <w:sz w:val="32"/>
          <w:szCs w:val="32"/>
        </w:rPr>
        <w:t>。</w:t>
      </w:r>
      <w:r w:rsidR="00F330B3" w:rsidRPr="00E310A5">
        <w:rPr>
          <w:rFonts w:ascii="Times New Roman" w:eastAsia="仿宋_GB2312" w:hAnsi="Times New Roman" w:cs="Times New Roman"/>
          <w:color w:val="262626" w:themeColor="text1" w:themeTint="D9"/>
          <w:sz w:val="32"/>
          <w:szCs w:val="32"/>
        </w:rPr>
        <w:t>以日常技能鉴定工种为重点，深入推行智能化考试工作，不断扩大智能化考试职业（工种）范围，并继续在符合条件的职业院校及社会培训机构中安装建立智能化考试平台，不断扩大智能化考试平台覆盖面；</w:t>
      </w:r>
      <w:r>
        <w:rPr>
          <w:rFonts w:ascii="Times New Roman" w:eastAsia="仿宋_GB2312" w:hAnsi="Times New Roman" w:cs="Times New Roman" w:hint="eastAsia"/>
          <w:color w:val="262626" w:themeColor="text1" w:themeTint="D9"/>
          <w:sz w:val="32"/>
          <w:szCs w:val="32"/>
        </w:rPr>
        <w:t>此外，</w:t>
      </w:r>
      <w:r w:rsidR="00F330B3" w:rsidRPr="00E310A5">
        <w:rPr>
          <w:rFonts w:ascii="Times New Roman" w:eastAsia="仿宋_GB2312" w:hAnsi="Times New Roman" w:cs="Times New Roman"/>
          <w:color w:val="262626" w:themeColor="text1" w:themeTint="D9"/>
          <w:sz w:val="32"/>
          <w:szCs w:val="32"/>
        </w:rPr>
        <w:t>以我市关于加强职业培训促进就业实施办法、促进城乡居民就业创业服务政策等一系列惠民措施为依托，以全市各</w:t>
      </w:r>
      <w:r w:rsidR="00BD64DF">
        <w:rPr>
          <w:rFonts w:ascii="Times New Roman" w:eastAsia="仿宋_GB2312" w:hAnsi="Times New Roman" w:cs="Times New Roman"/>
          <w:color w:val="262626" w:themeColor="text1" w:themeTint="D9"/>
          <w:sz w:val="32"/>
          <w:szCs w:val="32"/>
        </w:rPr>
        <w:t>职业院校、社会培训机构、相关行业、企业为主阵地，加大职业</w:t>
      </w:r>
      <w:r w:rsidR="00BD64DF">
        <w:rPr>
          <w:rFonts w:ascii="Times New Roman" w:eastAsia="仿宋_GB2312" w:hAnsi="Times New Roman" w:cs="Times New Roman" w:hint="eastAsia"/>
          <w:color w:val="262626" w:themeColor="text1" w:themeTint="D9"/>
          <w:sz w:val="32"/>
          <w:szCs w:val="32"/>
        </w:rPr>
        <w:t>训练</w:t>
      </w:r>
      <w:r w:rsidR="00BD64DF">
        <w:rPr>
          <w:rFonts w:ascii="Times New Roman" w:eastAsia="仿宋_GB2312" w:hAnsi="Times New Roman" w:cs="Times New Roman"/>
          <w:color w:val="262626" w:themeColor="text1" w:themeTint="D9"/>
          <w:sz w:val="32"/>
          <w:szCs w:val="32"/>
        </w:rPr>
        <w:t>宣传，提高职业技能</w:t>
      </w:r>
      <w:r w:rsidR="00BD64DF">
        <w:rPr>
          <w:rFonts w:ascii="Times New Roman" w:eastAsia="仿宋_GB2312" w:hAnsi="Times New Roman" w:cs="Times New Roman" w:hint="eastAsia"/>
          <w:color w:val="262626" w:themeColor="text1" w:themeTint="D9"/>
          <w:sz w:val="32"/>
          <w:szCs w:val="32"/>
        </w:rPr>
        <w:t>培训</w:t>
      </w:r>
      <w:r w:rsidR="00F330B3" w:rsidRPr="00E310A5">
        <w:rPr>
          <w:rFonts w:ascii="Times New Roman" w:eastAsia="仿宋_GB2312" w:hAnsi="Times New Roman" w:cs="Times New Roman"/>
          <w:color w:val="262626" w:themeColor="text1" w:themeTint="D9"/>
          <w:sz w:val="32"/>
          <w:szCs w:val="32"/>
        </w:rPr>
        <w:t>社会影响力，促使更多的人参加职业技能</w:t>
      </w:r>
      <w:r>
        <w:rPr>
          <w:rFonts w:ascii="Times New Roman" w:eastAsia="仿宋_GB2312" w:hAnsi="Times New Roman" w:cs="Times New Roman" w:hint="eastAsia"/>
          <w:color w:val="262626" w:themeColor="text1" w:themeTint="D9"/>
          <w:sz w:val="32"/>
          <w:szCs w:val="32"/>
        </w:rPr>
        <w:t>培训</w:t>
      </w:r>
      <w:r w:rsidR="00F330B3" w:rsidRPr="00E310A5">
        <w:rPr>
          <w:rFonts w:ascii="Times New Roman" w:eastAsia="仿宋_GB2312" w:hAnsi="Times New Roman" w:cs="Times New Roman"/>
          <w:color w:val="262626" w:themeColor="text1" w:themeTint="D9"/>
          <w:sz w:val="32"/>
          <w:szCs w:val="32"/>
        </w:rPr>
        <w:t>。</w:t>
      </w:r>
    </w:p>
    <w:p w:rsidR="00F330B3" w:rsidRPr="00E310A5" w:rsidRDefault="00F330B3" w:rsidP="00F330B3">
      <w:pPr>
        <w:spacing w:line="580" w:lineRule="exact"/>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（二）</w:t>
      </w:r>
      <w:r w:rsidR="002932B5" w:rsidRPr="00072A44">
        <w:rPr>
          <w:rFonts w:ascii="Times New Roman" w:eastAsia="仿宋_GB2312" w:hAnsi="Times New Roman" w:cs="Times New Roman" w:hint="eastAsia"/>
          <w:b/>
          <w:color w:val="262626" w:themeColor="text1" w:themeTint="D9"/>
          <w:sz w:val="32"/>
          <w:szCs w:val="32"/>
        </w:rPr>
        <w:t>以赛促培</w:t>
      </w:r>
      <w:r w:rsidRPr="00072A44">
        <w:rPr>
          <w:rFonts w:ascii="Times New Roman" w:eastAsia="仿宋_GB2312" w:hAnsi="Times New Roman" w:cs="Times New Roman"/>
          <w:b/>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根据年度市职业技能竞赛计划安排，加强与相关部门沟通联系，结合我市产业特点及产业转型升级需要，深入行业</w:t>
      </w:r>
      <w:r w:rsidR="002932B5">
        <w:rPr>
          <w:rFonts w:ascii="Times New Roman" w:eastAsia="仿宋_GB2312" w:hAnsi="Times New Roman" w:cs="Times New Roman"/>
          <w:color w:val="262626" w:themeColor="text1" w:themeTint="D9"/>
          <w:sz w:val="32"/>
          <w:szCs w:val="32"/>
        </w:rPr>
        <w:t>、企业开展走访动员和调研，选择确定年度职业技能竞赛职业（工种）</w:t>
      </w:r>
      <w:r w:rsidR="002932B5">
        <w:rPr>
          <w:rFonts w:ascii="Times New Roman" w:eastAsia="仿宋_GB2312" w:hAnsi="Times New Roman" w:cs="Times New Roman" w:hint="eastAsia"/>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指导竞赛承办单位做好竞赛筹备、竞赛组织实施等工作；指导竞赛优胜选手强化训练，并组织人员参加省组织职业技能竞赛。</w:t>
      </w:r>
    </w:p>
    <w:p w:rsidR="00F330B3" w:rsidRPr="00E310A5" w:rsidRDefault="00F330B3" w:rsidP="00F330B3">
      <w:pPr>
        <w:spacing w:line="540" w:lineRule="exact"/>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（三）</w:t>
      </w:r>
      <w:r w:rsidR="002932B5" w:rsidRPr="00072A44">
        <w:rPr>
          <w:rFonts w:ascii="Times New Roman" w:eastAsia="仿宋_GB2312" w:hAnsi="Times New Roman" w:cs="Times New Roman" w:hint="eastAsia"/>
          <w:b/>
          <w:color w:val="262626" w:themeColor="text1" w:themeTint="D9"/>
          <w:sz w:val="32"/>
          <w:szCs w:val="32"/>
        </w:rPr>
        <w:t>以</w:t>
      </w:r>
      <w:proofErr w:type="gramStart"/>
      <w:r w:rsidR="002932B5" w:rsidRPr="00072A44">
        <w:rPr>
          <w:rFonts w:ascii="Times New Roman" w:eastAsia="仿宋_GB2312" w:hAnsi="Times New Roman" w:cs="Times New Roman" w:hint="eastAsia"/>
          <w:b/>
          <w:color w:val="262626" w:themeColor="text1" w:themeTint="D9"/>
          <w:sz w:val="32"/>
          <w:szCs w:val="32"/>
        </w:rPr>
        <w:t>规</w:t>
      </w:r>
      <w:proofErr w:type="gramEnd"/>
      <w:r w:rsidR="002932B5" w:rsidRPr="00072A44">
        <w:rPr>
          <w:rFonts w:ascii="Times New Roman" w:eastAsia="仿宋_GB2312" w:hAnsi="Times New Roman" w:cs="Times New Roman" w:hint="eastAsia"/>
          <w:b/>
          <w:color w:val="262626" w:themeColor="text1" w:themeTint="D9"/>
          <w:sz w:val="32"/>
          <w:szCs w:val="32"/>
        </w:rPr>
        <w:t>促培</w:t>
      </w:r>
      <w:r w:rsidRPr="00072A44">
        <w:rPr>
          <w:rFonts w:ascii="Times New Roman" w:eastAsia="仿宋_GB2312" w:hAnsi="Times New Roman" w:cs="Times New Roman"/>
          <w:b/>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修订完善《东莞市职业技能鉴定业务规程》，推动我市职业技能鉴定服务专业化、管理精细化；健全职业技能鉴定考评员、考</w:t>
      </w:r>
      <w:proofErr w:type="gramStart"/>
      <w:r w:rsidRPr="00E310A5">
        <w:rPr>
          <w:rFonts w:ascii="Times New Roman" w:eastAsia="仿宋_GB2312" w:hAnsi="Times New Roman" w:cs="Times New Roman"/>
          <w:color w:val="262626" w:themeColor="text1" w:themeTint="D9"/>
          <w:sz w:val="32"/>
          <w:szCs w:val="32"/>
        </w:rPr>
        <w:t>务</w:t>
      </w:r>
      <w:proofErr w:type="gramEnd"/>
      <w:r w:rsidRPr="00E310A5">
        <w:rPr>
          <w:rFonts w:ascii="Times New Roman" w:eastAsia="仿宋_GB2312" w:hAnsi="Times New Roman" w:cs="Times New Roman"/>
          <w:color w:val="262626" w:themeColor="text1" w:themeTint="D9"/>
          <w:sz w:val="32"/>
          <w:szCs w:val="32"/>
        </w:rPr>
        <w:t>工作人员管理规定，促进我市职业技能鉴定考评、考</w:t>
      </w:r>
      <w:proofErr w:type="gramStart"/>
      <w:r w:rsidRPr="00E310A5">
        <w:rPr>
          <w:rFonts w:ascii="Times New Roman" w:eastAsia="仿宋_GB2312" w:hAnsi="Times New Roman" w:cs="Times New Roman"/>
          <w:color w:val="262626" w:themeColor="text1" w:themeTint="D9"/>
          <w:sz w:val="32"/>
          <w:szCs w:val="32"/>
        </w:rPr>
        <w:t>务</w:t>
      </w:r>
      <w:proofErr w:type="gramEnd"/>
      <w:r w:rsidRPr="00E310A5">
        <w:rPr>
          <w:rFonts w:ascii="Times New Roman" w:eastAsia="仿宋_GB2312" w:hAnsi="Times New Roman" w:cs="Times New Roman"/>
          <w:color w:val="262626" w:themeColor="text1" w:themeTint="D9"/>
          <w:sz w:val="32"/>
          <w:szCs w:val="32"/>
        </w:rPr>
        <w:t>工作队伍规范化管理；补充完善</w:t>
      </w:r>
      <w:r w:rsidRPr="00E310A5">
        <w:rPr>
          <w:rFonts w:ascii="Times New Roman" w:eastAsia="仿宋_GB2312" w:hAnsi="Times New Roman" w:cs="Times New Roman"/>
          <w:color w:val="262626" w:themeColor="text1" w:themeTint="D9"/>
          <w:sz w:val="32"/>
          <w:szCs w:val="32"/>
        </w:rPr>
        <w:lastRenderedPageBreak/>
        <w:t>《职业技能鉴定通用智能化考场管理规范》、《东莞市职业技能鉴定定点考场管理规定》、《东莞市职业技能鉴定证书查询操作指引》等业务规章制度，不断推进我市职业技能鉴定专业化、规范化和制度化发展。</w:t>
      </w:r>
    </w:p>
    <w:p w:rsidR="00EC5961" w:rsidRPr="00E310A5" w:rsidRDefault="00F330B3" w:rsidP="00F330B3">
      <w:pPr>
        <w:spacing w:line="580" w:lineRule="exact"/>
        <w:ind w:firstLineChars="200" w:firstLine="640"/>
        <w:rPr>
          <w:rFonts w:ascii="Times New Roman" w:eastAsia="仿宋" w:hAnsi="Times New Roman" w:cs="Times New Roman"/>
          <w:sz w:val="32"/>
          <w:szCs w:val="32"/>
        </w:rPr>
      </w:pPr>
      <w:r w:rsidRPr="00E310A5">
        <w:rPr>
          <w:rFonts w:ascii="Times New Roman" w:eastAsia="仿宋_GB2312" w:hAnsi="Times New Roman" w:cs="Times New Roman"/>
          <w:color w:val="262626" w:themeColor="text1" w:themeTint="D9"/>
          <w:sz w:val="32"/>
          <w:szCs w:val="32"/>
        </w:rPr>
        <w:t>（四）</w:t>
      </w:r>
      <w:r w:rsidR="002932B5" w:rsidRPr="00072A44">
        <w:rPr>
          <w:rFonts w:ascii="Times New Roman" w:eastAsia="仿宋_GB2312" w:hAnsi="Times New Roman" w:cs="Times New Roman" w:hint="eastAsia"/>
          <w:b/>
          <w:color w:val="262626" w:themeColor="text1" w:themeTint="D9"/>
          <w:sz w:val="32"/>
          <w:szCs w:val="32"/>
        </w:rPr>
        <w:t>以人促培。</w:t>
      </w:r>
      <w:r w:rsidRPr="00E310A5">
        <w:rPr>
          <w:rFonts w:ascii="Times New Roman" w:eastAsia="仿宋_GB2312" w:hAnsi="Times New Roman" w:cs="Times New Roman"/>
          <w:color w:val="262626" w:themeColor="text1" w:themeTint="D9"/>
          <w:sz w:val="32"/>
          <w:szCs w:val="32"/>
        </w:rPr>
        <w:t>加强</w:t>
      </w:r>
      <w:r w:rsidR="00BD64DF">
        <w:rPr>
          <w:rFonts w:ascii="Times New Roman" w:eastAsia="仿宋_GB2312" w:hAnsi="Times New Roman" w:cs="Times New Roman" w:hint="eastAsia"/>
          <w:color w:val="262626" w:themeColor="text1" w:themeTint="D9"/>
          <w:sz w:val="32"/>
          <w:szCs w:val="32"/>
        </w:rPr>
        <w:t>职业培训师资以及职业技能鉴定</w:t>
      </w:r>
      <w:r w:rsidRPr="00E310A5">
        <w:rPr>
          <w:rFonts w:ascii="Times New Roman" w:eastAsia="仿宋_GB2312" w:hAnsi="Times New Roman" w:cs="Times New Roman"/>
          <w:color w:val="262626" w:themeColor="text1" w:themeTint="D9"/>
          <w:sz w:val="32"/>
          <w:szCs w:val="32"/>
        </w:rPr>
        <w:t>考评、考</w:t>
      </w:r>
      <w:proofErr w:type="gramStart"/>
      <w:r w:rsidRPr="00E310A5">
        <w:rPr>
          <w:rFonts w:ascii="Times New Roman" w:eastAsia="仿宋_GB2312" w:hAnsi="Times New Roman" w:cs="Times New Roman"/>
          <w:color w:val="262626" w:themeColor="text1" w:themeTint="D9"/>
          <w:sz w:val="32"/>
          <w:szCs w:val="32"/>
        </w:rPr>
        <w:t>务</w:t>
      </w:r>
      <w:proofErr w:type="gramEnd"/>
      <w:r w:rsidRPr="00E310A5">
        <w:rPr>
          <w:rFonts w:ascii="Times New Roman" w:eastAsia="仿宋_GB2312" w:hAnsi="Times New Roman" w:cs="Times New Roman"/>
          <w:color w:val="262626" w:themeColor="text1" w:themeTint="D9"/>
          <w:sz w:val="32"/>
          <w:szCs w:val="32"/>
        </w:rPr>
        <w:t>工作人员队伍建设。一是抓好人员廉洁自律教育和业务学习，培养一批服务态度好、自律意识强、</w:t>
      </w:r>
      <w:proofErr w:type="gramStart"/>
      <w:r w:rsidRPr="00E310A5">
        <w:rPr>
          <w:rFonts w:ascii="Times New Roman" w:eastAsia="仿宋_GB2312" w:hAnsi="Times New Roman" w:cs="Times New Roman"/>
          <w:color w:val="262626" w:themeColor="text1" w:themeTint="D9"/>
          <w:sz w:val="32"/>
          <w:szCs w:val="32"/>
        </w:rPr>
        <w:t>精懂业务</w:t>
      </w:r>
      <w:proofErr w:type="gramEnd"/>
      <w:r w:rsidRPr="00E310A5">
        <w:rPr>
          <w:rFonts w:ascii="Times New Roman" w:eastAsia="仿宋_GB2312" w:hAnsi="Times New Roman" w:cs="Times New Roman"/>
          <w:color w:val="262626" w:themeColor="text1" w:themeTint="D9"/>
          <w:sz w:val="32"/>
          <w:szCs w:val="32"/>
        </w:rPr>
        <w:t>的</w:t>
      </w:r>
      <w:r w:rsidR="00BD64DF">
        <w:rPr>
          <w:rFonts w:ascii="Times New Roman" w:eastAsia="仿宋_GB2312" w:hAnsi="Times New Roman" w:cs="Times New Roman" w:hint="eastAsia"/>
          <w:color w:val="262626" w:themeColor="text1" w:themeTint="D9"/>
          <w:sz w:val="32"/>
          <w:szCs w:val="32"/>
        </w:rPr>
        <w:t>职业技能培训鉴定</w:t>
      </w:r>
      <w:r w:rsidRPr="00E310A5">
        <w:rPr>
          <w:rFonts w:ascii="Times New Roman" w:eastAsia="仿宋_GB2312" w:hAnsi="Times New Roman" w:cs="Times New Roman"/>
          <w:color w:val="262626" w:themeColor="text1" w:themeTint="D9"/>
          <w:sz w:val="32"/>
          <w:szCs w:val="32"/>
        </w:rPr>
        <w:t>人员队伍；二是加</w:t>
      </w:r>
      <w:r w:rsidR="00BD64DF">
        <w:rPr>
          <w:rFonts w:ascii="Times New Roman" w:eastAsia="仿宋_GB2312" w:hAnsi="Times New Roman" w:cs="Times New Roman"/>
          <w:color w:val="262626" w:themeColor="text1" w:themeTint="D9"/>
          <w:sz w:val="32"/>
          <w:szCs w:val="32"/>
        </w:rPr>
        <w:t>强与各大中院校、企业及行业联系，挖掘培养一批新职业技能</w:t>
      </w:r>
      <w:r w:rsidR="00BD64DF">
        <w:rPr>
          <w:rFonts w:ascii="Times New Roman" w:eastAsia="仿宋_GB2312" w:hAnsi="Times New Roman" w:cs="Times New Roman" w:hint="eastAsia"/>
          <w:color w:val="262626" w:themeColor="text1" w:themeTint="D9"/>
          <w:sz w:val="32"/>
          <w:szCs w:val="32"/>
        </w:rPr>
        <w:t>师资力量</w:t>
      </w:r>
      <w:r w:rsidRPr="00E310A5">
        <w:rPr>
          <w:rFonts w:ascii="Times New Roman" w:eastAsia="仿宋_GB2312" w:hAnsi="Times New Roman" w:cs="Times New Roman"/>
          <w:color w:val="262626" w:themeColor="text1" w:themeTint="D9"/>
          <w:sz w:val="32"/>
          <w:szCs w:val="32"/>
        </w:rPr>
        <w:t>，不断充实队伍数量；三是</w:t>
      </w:r>
      <w:r w:rsidR="00BD64DF">
        <w:rPr>
          <w:rFonts w:ascii="Times New Roman" w:eastAsia="仿宋_GB2312" w:hAnsi="Times New Roman" w:cs="Times New Roman" w:hint="eastAsia"/>
          <w:color w:val="262626" w:themeColor="text1" w:themeTint="D9"/>
          <w:sz w:val="32"/>
          <w:szCs w:val="32"/>
        </w:rPr>
        <w:t>举办考评员培训班，</w:t>
      </w:r>
      <w:r w:rsidRPr="00E310A5">
        <w:rPr>
          <w:rFonts w:ascii="Times New Roman" w:eastAsia="仿宋_GB2312" w:hAnsi="Times New Roman" w:cs="Times New Roman"/>
          <w:color w:val="262626" w:themeColor="text1" w:themeTint="D9"/>
          <w:sz w:val="32"/>
          <w:szCs w:val="32"/>
        </w:rPr>
        <w:t>进一步完善职业技能鉴定</w:t>
      </w:r>
      <w:proofErr w:type="gramStart"/>
      <w:r w:rsidRPr="00E310A5">
        <w:rPr>
          <w:rFonts w:ascii="Times New Roman" w:eastAsia="仿宋_GB2312" w:hAnsi="Times New Roman" w:cs="Times New Roman"/>
          <w:color w:val="262626" w:themeColor="text1" w:themeTint="D9"/>
          <w:sz w:val="32"/>
          <w:szCs w:val="32"/>
        </w:rPr>
        <w:t>考评员库建设</w:t>
      </w:r>
      <w:proofErr w:type="gramEnd"/>
      <w:r w:rsidRPr="00E310A5">
        <w:rPr>
          <w:rFonts w:ascii="Times New Roman" w:eastAsia="仿宋_GB2312" w:hAnsi="Times New Roman" w:cs="Times New Roman"/>
          <w:color w:val="262626" w:themeColor="text1" w:themeTint="D9"/>
          <w:sz w:val="32"/>
          <w:szCs w:val="32"/>
        </w:rPr>
        <w:t>。</w:t>
      </w:r>
    </w:p>
    <w:p w:rsidR="0063304A" w:rsidRPr="00E310A5" w:rsidRDefault="0063304A" w:rsidP="0063304A">
      <w:pPr>
        <w:spacing w:line="600" w:lineRule="exact"/>
        <w:ind w:firstLineChars="200" w:firstLine="640"/>
        <w:rPr>
          <w:rFonts w:ascii="Times New Roman" w:hAnsi="Times New Roman" w:cs="Times New Roman"/>
          <w:color w:val="262626" w:themeColor="text1" w:themeTint="D9"/>
          <w:sz w:val="32"/>
          <w:szCs w:val="32"/>
        </w:rPr>
      </w:pPr>
      <w:r w:rsidRPr="00E310A5">
        <w:rPr>
          <w:rFonts w:ascii="Times New Roman" w:eastAsia="黑体" w:hAnsi="Times New Roman" w:cs="Times New Roman"/>
          <w:color w:val="262626" w:themeColor="text1" w:themeTint="D9"/>
          <w:sz w:val="32"/>
          <w:szCs w:val="32"/>
        </w:rPr>
        <w:t>五、决算年度收支决算说明</w:t>
      </w:r>
    </w:p>
    <w:p w:rsidR="0063304A" w:rsidRPr="00E310A5" w:rsidRDefault="0063304A" w:rsidP="00134631">
      <w:pPr>
        <w:spacing w:line="600" w:lineRule="exact"/>
        <w:ind w:firstLineChars="196" w:firstLine="627"/>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年部门决算总收入</w:t>
      </w:r>
      <w:r w:rsidR="00911A0A" w:rsidRPr="00E310A5">
        <w:rPr>
          <w:rFonts w:ascii="Times New Roman" w:eastAsia="黑体" w:hAnsi="Times New Roman" w:cs="Times New Roman"/>
          <w:b/>
          <w:color w:val="262626" w:themeColor="text1" w:themeTint="D9"/>
          <w:sz w:val="32"/>
          <w:szCs w:val="32"/>
        </w:rPr>
        <w:t>377.15</w:t>
      </w:r>
      <w:r w:rsidRPr="00E310A5">
        <w:rPr>
          <w:rFonts w:ascii="Times New Roman" w:eastAsia="仿宋_GB2312" w:hAnsi="Times New Roman" w:cs="Times New Roman"/>
          <w:color w:val="262626" w:themeColor="text1" w:themeTint="D9"/>
          <w:sz w:val="32"/>
          <w:szCs w:val="32"/>
        </w:rPr>
        <w:t>万元，其中：财政拨款收入</w:t>
      </w:r>
      <w:r w:rsidR="00911A0A" w:rsidRPr="00E310A5">
        <w:rPr>
          <w:rFonts w:ascii="Times New Roman" w:eastAsia="黑体" w:hAnsi="Times New Roman" w:cs="Times New Roman"/>
          <w:b/>
          <w:color w:val="262626" w:themeColor="text1" w:themeTint="D9"/>
          <w:sz w:val="32"/>
          <w:szCs w:val="32"/>
        </w:rPr>
        <w:t>377.08</w:t>
      </w:r>
      <w:r w:rsidRPr="00E310A5">
        <w:rPr>
          <w:rFonts w:ascii="Times New Roman" w:eastAsia="仿宋_GB2312" w:hAnsi="Times New Roman" w:cs="Times New Roman"/>
          <w:color w:val="262626" w:themeColor="text1" w:themeTint="D9"/>
          <w:sz w:val="32"/>
          <w:szCs w:val="32"/>
        </w:rPr>
        <w:t>万元，占总收入的</w:t>
      </w:r>
      <w:r w:rsidR="00911A0A" w:rsidRPr="00E310A5">
        <w:rPr>
          <w:rFonts w:ascii="Times New Roman" w:eastAsia="黑体" w:hAnsi="Times New Roman" w:cs="Times New Roman"/>
          <w:b/>
          <w:color w:val="262626" w:themeColor="text1" w:themeTint="D9"/>
          <w:sz w:val="32"/>
          <w:szCs w:val="32"/>
        </w:rPr>
        <w:t>99.98</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w:t>
      </w:r>
      <w:r w:rsidR="00134631" w:rsidRPr="00E310A5">
        <w:rPr>
          <w:rFonts w:ascii="Times New Roman" w:eastAsia="仿宋_GB2312" w:hAnsi="Times New Roman" w:cs="Times New Roman"/>
          <w:color w:val="262626" w:themeColor="text1" w:themeTint="D9"/>
          <w:sz w:val="32"/>
          <w:szCs w:val="32"/>
        </w:rPr>
        <w:t>上级补助收入</w:t>
      </w:r>
      <w:r w:rsidR="00911A0A" w:rsidRPr="00E310A5">
        <w:rPr>
          <w:rFonts w:ascii="Times New Roman" w:eastAsia="黑体" w:hAnsi="Times New Roman" w:cs="Times New Roman"/>
          <w:b/>
          <w:color w:val="262626" w:themeColor="text1" w:themeTint="D9"/>
          <w:sz w:val="32"/>
          <w:szCs w:val="32"/>
        </w:rPr>
        <w:t>0</w:t>
      </w:r>
      <w:r w:rsidR="00134631" w:rsidRPr="00E310A5">
        <w:rPr>
          <w:rFonts w:ascii="Times New Roman" w:eastAsia="仿宋_GB2312" w:hAnsi="Times New Roman" w:cs="Times New Roman"/>
          <w:color w:val="262626" w:themeColor="text1" w:themeTint="D9"/>
          <w:sz w:val="32"/>
          <w:szCs w:val="32"/>
        </w:rPr>
        <w:t>万元，占总收入</w:t>
      </w:r>
      <w:r w:rsidR="00911A0A" w:rsidRPr="00E310A5">
        <w:rPr>
          <w:rFonts w:ascii="Times New Roman" w:eastAsia="黑体" w:hAnsi="Times New Roman" w:cs="Times New Roman"/>
          <w:b/>
          <w:color w:val="262626" w:themeColor="text1" w:themeTint="D9"/>
          <w:sz w:val="32"/>
          <w:szCs w:val="32"/>
        </w:rPr>
        <w:t>0</w:t>
      </w:r>
      <w:r w:rsidR="00134631" w:rsidRPr="00E310A5">
        <w:rPr>
          <w:rFonts w:ascii="Times New Roman" w:eastAsia="仿宋_GB2312" w:hAnsi="Times New Roman" w:cs="Times New Roman"/>
          <w:color w:val="262626" w:themeColor="text1" w:themeTint="D9"/>
          <w:sz w:val="32"/>
          <w:szCs w:val="32"/>
        </w:rPr>
        <w:t>%</w:t>
      </w:r>
      <w:r w:rsidR="00134631"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事业收入</w:t>
      </w:r>
      <w:r w:rsidR="00911A0A"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万元，占总收入</w:t>
      </w:r>
      <w:r w:rsidR="00911A0A"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；其他收入</w:t>
      </w:r>
      <w:r w:rsidR="00911A0A" w:rsidRPr="00E310A5">
        <w:rPr>
          <w:rFonts w:ascii="Times New Roman" w:eastAsia="黑体" w:hAnsi="Times New Roman" w:cs="Times New Roman"/>
          <w:b/>
          <w:color w:val="262626" w:themeColor="text1" w:themeTint="D9"/>
          <w:sz w:val="32"/>
          <w:szCs w:val="32"/>
        </w:rPr>
        <w:t>0.07</w:t>
      </w:r>
      <w:r w:rsidRPr="00E310A5">
        <w:rPr>
          <w:rFonts w:ascii="Times New Roman" w:eastAsia="仿宋_GB2312" w:hAnsi="Times New Roman" w:cs="Times New Roman"/>
          <w:color w:val="262626" w:themeColor="text1" w:themeTint="D9"/>
          <w:sz w:val="32"/>
          <w:szCs w:val="32"/>
        </w:rPr>
        <w:t>万元，占总收入</w:t>
      </w:r>
      <w:r w:rsidR="00911A0A" w:rsidRPr="00E310A5">
        <w:rPr>
          <w:rFonts w:ascii="Times New Roman" w:eastAsia="黑体" w:hAnsi="Times New Roman" w:cs="Times New Roman"/>
          <w:b/>
          <w:color w:val="262626" w:themeColor="text1" w:themeTint="D9"/>
          <w:sz w:val="32"/>
          <w:szCs w:val="32"/>
        </w:rPr>
        <w:t>0.02</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。上年结转和结余</w:t>
      </w:r>
      <w:r w:rsidR="000B2867" w:rsidRPr="00E310A5">
        <w:rPr>
          <w:rFonts w:ascii="Times New Roman" w:eastAsia="黑体" w:hAnsi="Times New Roman" w:cs="Times New Roman"/>
          <w:b/>
          <w:color w:val="262626" w:themeColor="text1" w:themeTint="D9"/>
          <w:sz w:val="32"/>
          <w:szCs w:val="32"/>
        </w:rPr>
        <w:t>112</w:t>
      </w:r>
      <w:r w:rsidRPr="00E310A5">
        <w:rPr>
          <w:rFonts w:ascii="Times New Roman" w:eastAsia="仿宋_GB2312" w:hAnsi="Times New Roman" w:cs="Times New Roman"/>
          <w:color w:val="262626" w:themeColor="text1" w:themeTint="D9"/>
          <w:sz w:val="32"/>
          <w:szCs w:val="32"/>
        </w:rPr>
        <w:t>万元。</w:t>
      </w:r>
    </w:p>
    <w:p w:rsidR="0063304A" w:rsidRPr="00E310A5" w:rsidRDefault="0063304A" w:rsidP="0063304A">
      <w:pPr>
        <w:spacing w:line="600" w:lineRule="exact"/>
        <w:ind w:firstLineChars="196" w:firstLine="627"/>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年部门决算总支出</w:t>
      </w:r>
      <w:r w:rsidR="000B2867" w:rsidRPr="00E310A5">
        <w:rPr>
          <w:rFonts w:ascii="Times New Roman" w:eastAsia="黑体" w:hAnsi="Times New Roman" w:cs="Times New Roman"/>
          <w:b/>
          <w:color w:val="262626" w:themeColor="text1" w:themeTint="D9"/>
          <w:sz w:val="32"/>
          <w:szCs w:val="32"/>
        </w:rPr>
        <w:t>395.96</w:t>
      </w:r>
      <w:r w:rsidRPr="00E310A5">
        <w:rPr>
          <w:rFonts w:ascii="Times New Roman" w:eastAsia="仿宋_GB2312" w:hAnsi="Times New Roman" w:cs="Times New Roman"/>
          <w:color w:val="262626" w:themeColor="text1" w:themeTint="D9"/>
          <w:sz w:val="32"/>
          <w:szCs w:val="32"/>
        </w:rPr>
        <w:t>万元，其中基本支出</w:t>
      </w:r>
      <w:r w:rsidR="000B2867" w:rsidRPr="00E310A5">
        <w:rPr>
          <w:rFonts w:ascii="Times New Roman" w:eastAsia="黑体" w:hAnsi="Times New Roman" w:cs="Times New Roman"/>
          <w:b/>
          <w:color w:val="262626" w:themeColor="text1" w:themeTint="D9"/>
          <w:sz w:val="32"/>
          <w:szCs w:val="32"/>
        </w:rPr>
        <w:t>392.27</w:t>
      </w:r>
      <w:r w:rsidRPr="00E310A5">
        <w:rPr>
          <w:rFonts w:ascii="Times New Roman" w:eastAsia="仿宋_GB2312" w:hAnsi="Times New Roman" w:cs="Times New Roman"/>
          <w:color w:val="262626" w:themeColor="text1" w:themeTint="D9"/>
          <w:sz w:val="32"/>
          <w:szCs w:val="32"/>
        </w:rPr>
        <w:t>万元，项目支出</w:t>
      </w:r>
      <w:r w:rsidR="000B2867" w:rsidRPr="00E310A5">
        <w:rPr>
          <w:rFonts w:ascii="Times New Roman" w:eastAsia="黑体" w:hAnsi="Times New Roman" w:cs="Times New Roman"/>
          <w:b/>
          <w:color w:val="262626" w:themeColor="text1" w:themeTint="D9"/>
          <w:sz w:val="32"/>
          <w:szCs w:val="32"/>
        </w:rPr>
        <w:t>3.69</w:t>
      </w:r>
      <w:r w:rsidRPr="00E310A5">
        <w:rPr>
          <w:rFonts w:ascii="Times New Roman" w:eastAsia="仿宋_GB2312" w:hAnsi="Times New Roman" w:cs="Times New Roman"/>
          <w:color w:val="262626" w:themeColor="text1" w:themeTint="D9"/>
          <w:sz w:val="32"/>
          <w:szCs w:val="32"/>
        </w:rPr>
        <w:t>万元。本年结转和结余</w:t>
      </w:r>
      <w:r w:rsidR="000B2867" w:rsidRPr="00E310A5">
        <w:rPr>
          <w:rFonts w:ascii="Times New Roman" w:eastAsia="黑体" w:hAnsi="Times New Roman" w:cs="Times New Roman"/>
          <w:b/>
          <w:color w:val="262626" w:themeColor="text1" w:themeTint="D9"/>
          <w:sz w:val="32"/>
          <w:szCs w:val="32"/>
        </w:rPr>
        <w:t>93.19</w:t>
      </w:r>
      <w:r w:rsidRPr="00E310A5">
        <w:rPr>
          <w:rFonts w:ascii="Times New Roman" w:eastAsia="仿宋_GB2312" w:hAnsi="Times New Roman" w:cs="Times New Roman"/>
          <w:color w:val="262626" w:themeColor="text1" w:themeTint="D9"/>
          <w:sz w:val="32"/>
          <w:szCs w:val="32"/>
        </w:rPr>
        <w:t>万元。</w:t>
      </w:r>
    </w:p>
    <w:p w:rsidR="0063304A" w:rsidRPr="00E310A5" w:rsidRDefault="0063304A" w:rsidP="0063304A">
      <w:pPr>
        <w:spacing w:line="600" w:lineRule="exact"/>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Times New Roman" w:cs="Times New Roman"/>
          <w:color w:val="262626" w:themeColor="text1" w:themeTint="D9"/>
          <w:sz w:val="32"/>
          <w:szCs w:val="32"/>
        </w:rPr>
        <w:t>六、</w:t>
      </w:r>
      <w:r w:rsidRPr="00E310A5">
        <w:rPr>
          <w:rFonts w:ascii="Times New Roman" w:eastAsia="黑体" w:hAnsi="Times New Roman" w:cs="Times New Roman"/>
          <w:color w:val="262626" w:themeColor="text1" w:themeTint="D9"/>
          <w:sz w:val="32"/>
          <w:szCs w:val="32"/>
        </w:rPr>
        <w:t>“</w:t>
      </w:r>
      <w:r w:rsidRPr="00E310A5">
        <w:rPr>
          <w:rFonts w:ascii="Times New Roman" w:eastAsia="黑体" w:hAnsi="Times New Roman" w:cs="Times New Roman"/>
          <w:color w:val="262626" w:themeColor="text1" w:themeTint="D9"/>
          <w:sz w:val="32"/>
          <w:szCs w:val="32"/>
        </w:rPr>
        <w:t>三公</w:t>
      </w:r>
      <w:r w:rsidRPr="00E310A5">
        <w:rPr>
          <w:rFonts w:ascii="Times New Roman" w:eastAsia="黑体" w:hAnsi="Times New Roman" w:cs="Times New Roman"/>
          <w:color w:val="262626" w:themeColor="text1" w:themeTint="D9"/>
          <w:sz w:val="32"/>
          <w:szCs w:val="32"/>
        </w:rPr>
        <w:t>”</w:t>
      </w:r>
      <w:r w:rsidRPr="00E310A5">
        <w:rPr>
          <w:rFonts w:ascii="Times New Roman" w:eastAsia="黑体" w:hAnsi="Times New Roman" w:cs="Times New Roman"/>
          <w:color w:val="262626" w:themeColor="text1" w:themeTint="D9"/>
          <w:sz w:val="32"/>
          <w:szCs w:val="32"/>
        </w:rPr>
        <w:t>经费支出说明</w:t>
      </w:r>
    </w:p>
    <w:p w:rsidR="0063304A" w:rsidRPr="00E310A5" w:rsidRDefault="0063304A" w:rsidP="0063304A">
      <w:pPr>
        <w:spacing w:line="600" w:lineRule="exact"/>
        <w:ind w:firstLineChars="196" w:firstLine="627"/>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年，本单位</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三公经费</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支出合计</w:t>
      </w:r>
      <w:r w:rsidR="00F26565" w:rsidRPr="00E310A5">
        <w:rPr>
          <w:rFonts w:ascii="Times New Roman" w:eastAsia="黑体" w:hAnsi="Times New Roman" w:cs="Times New Roman"/>
          <w:b/>
          <w:color w:val="262626" w:themeColor="text1" w:themeTint="D9"/>
          <w:sz w:val="32"/>
          <w:szCs w:val="32"/>
        </w:rPr>
        <w:t>4.39</w:t>
      </w:r>
      <w:r w:rsidRPr="00E310A5">
        <w:rPr>
          <w:rFonts w:ascii="Times New Roman" w:eastAsia="仿宋_GB2312" w:hAnsi="Times New Roman" w:cs="Times New Roman"/>
          <w:color w:val="262626" w:themeColor="text1" w:themeTint="D9"/>
          <w:sz w:val="32"/>
          <w:szCs w:val="32"/>
        </w:rPr>
        <w:t>万元，其中：</w:t>
      </w:r>
    </w:p>
    <w:p w:rsidR="0063304A" w:rsidRPr="00E310A5" w:rsidRDefault="0063304A" w:rsidP="00A87E78">
      <w:pPr>
        <w:spacing w:line="600" w:lineRule="exact"/>
        <w:ind w:firstLineChars="196" w:firstLine="627"/>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（一）因公出国（境）费用支出</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万元，全年出国（境）团组</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个、</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人次，比</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年预算减少（增加）</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万元，降</w:t>
      </w:r>
      <w:r w:rsidRPr="00E310A5">
        <w:rPr>
          <w:rFonts w:ascii="Times New Roman" w:eastAsia="仿宋_GB2312" w:hAnsi="Times New Roman" w:cs="Times New Roman"/>
          <w:color w:val="262626" w:themeColor="text1" w:themeTint="D9"/>
          <w:sz w:val="32"/>
          <w:szCs w:val="32"/>
        </w:rPr>
        <w:lastRenderedPageBreak/>
        <w:t>低（增加）</w:t>
      </w:r>
      <w:r w:rsidR="00F26565" w:rsidRPr="00E310A5">
        <w:rPr>
          <w:rFonts w:ascii="Times New Roman" w:eastAsia="黑体" w:hAnsi="Times New Roman" w:cs="Times New Roman"/>
          <w:b/>
          <w:color w:val="262626" w:themeColor="text1" w:themeTint="D9"/>
          <w:sz w:val="32"/>
          <w:szCs w:val="32"/>
        </w:rPr>
        <w:t>0</w:t>
      </w:r>
      <w:r w:rsidR="00A87E78" w:rsidRPr="00E310A5">
        <w:rPr>
          <w:rFonts w:ascii="Times New Roman" w:eastAsia="仿宋_GB2312" w:hAnsi="Times New Roman" w:cs="Times New Roman"/>
          <w:color w:val="262626" w:themeColor="text1" w:themeTint="D9"/>
          <w:sz w:val="32"/>
          <w:szCs w:val="32"/>
        </w:rPr>
        <w:t>%</w:t>
      </w:r>
      <w:r w:rsidR="00A87E78" w:rsidRPr="00E310A5">
        <w:rPr>
          <w:rFonts w:ascii="Times New Roman" w:eastAsia="仿宋_GB2312" w:hAnsi="Times New Roman" w:cs="Times New Roman"/>
          <w:color w:val="262626" w:themeColor="text1" w:themeTint="D9"/>
          <w:sz w:val="32"/>
          <w:szCs w:val="32"/>
        </w:rPr>
        <w:t>。</w:t>
      </w:r>
    </w:p>
    <w:p w:rsidR="00EC5961" w:rsidRPr="00E310A5" w:rsidRDefault="00A87E78" w:rsidP="00A87E78">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（二）公车购置费支出</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万元，用于购置公车</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辆，比</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年预算减少（增加）</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万元，降低（增加）</w:t>
      </w:r>
      <w:r w:rsidR="00F26565" w:rsidRPr="00E310A5">
        <w:rPr>
          <w:rFonts w:ascii="Times New Roman" w:eastAsia="黑体" w:hAnsi="Times New Roman" w:cs="Times New Roman"/>
          <w:b/>
          <w:color w:val="262626" w:themeColor="text1" w:themeTint="D9"/>
          <w:sz w:val="32"/>
          <w:szCs w:val="32"/>
        </w:rPr>
        <w:t>0</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w:t>
      </w:r>
      <w:bookmarkStart w:id="0" w:name="_GoBack"/>
      <w:bookmarkEnd w:id="0"/>
    </w:p>
    <w:p w:rsidR="00EC5961" w:rsidRPr="00E310A5" w:rsidRDefault="00A87E78" w:rsidP="00EC5961">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（三）公车运行维护费支出</w:t>
      </w:r>
      <w:r w:rsidR="00F26565" w:rsidRPr="00E310A5">
        <w:rPr>
          <w:rFonts w:ascii="Times New Roman" w:eastAsia="黑体" w:hAnsi="Times New Roman" w:cs="Times New Roman"/>
          <w:b/>
          <w:color w:val="262626" w:themeColor="text1" w:themeTint="D9"/>
          <w:sz w:val="32"/>
          <w:szCs w:val="32"/>
        </w:rPr>
        <w:t>3.68</w:t>
      </w:r>
      <w:r w:rsidRPr="00E310A5">
        <w:rPr>
          <w:rFonts w:ascii="Times New Roman" w:eastAsia="仿宋_GB2312" w:hAnsi="Times New Roman" w:cs="Times New Roman"/>
          <w:color w:val="262626" w:themeColor="text1" w:themeTint="D9"/>
          <w:sz w:val="32"/>
          <w:szCs w:val="32"/>
        </w:rPr>
        <w:t>万元，比</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年预算减少</w:t>
      </w:r>
      <w:r w:rsidR="00F26565" w:rsidRPr="00E310A5">
        <w:rPr>
          <w:rFonts w:ascii="Times New Roman" w:eastAsia="黑体" w:hAnsi="Times New Roman" w:cs="Times New Roman"/>
          <w:b/>
          <w:color w:val="262626" w:themeColor="text1" w:themeTint="D9"/>
          <w:sz w:val="32"/>
          <w:szCs w:val="32"/>
        </w:rPr>
        <w:t>7.32</w:t>
      </w:r>
      <w:r w:rsidRPr="00E310A5">
        <w:rPr>
          <w:rFonts w:ascii="Times New Roman" w:eastAsia="仿宋_GB2312" w:hAnsi="Times New Roman" w:cs="Times New Roman"/>
          <w:color w:val="262626" w:themeColor="text1" w:themeTint="D9"/>
          <w:sz w:val="32"/>
          <w:szCs w:val="32"/>
        </w:rPr>
        <w:t>万元，降低</w:t>
      </w:r>
      <w:r w:rsidR="00F26565" w:rsidRPr="00E310A5">
        <w:rPr>
          <w:rFonts w:ascii="Times New Roman" w:eastAsia="黑体" w:hAnsi="Times New Roman" w:cs="Times New Roman"/>
          <w:b/>
          <w:color w:val="262626" w:themeColor="text1" w:themeTint="D9"/>
          <w:sz w:val="32"/>
          <w:szCs w:val="32"/>
        </w:rPr>
        <w:t>66.55</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。截至</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年底，本单位共有公车</w:t>
      </w:r>
      <w:r w:rsidR="00F26565" w:rsidRPr="00E310A5">
        <w:rPr>
          <w:rFonts w:ascii="Times New Roman" w:eastAsia="黑体" w:hAnsi="Times New Roman" w:cs="Times New Roman"/>
          <w:b/>
          <w:color w:val="262626" w:themeColor="text1" w:themeTint="D9"/>
          <w:sz w:val="32"/>
          <w:szCs w:val="32"/>
        </w:rPr>
        <w:t>3</w:t>
      </w:r>
      <w:r w:rsidRPr="00E310A5">
        <w:rPr>
          <w:rFonts w:ascii="Times New Roman" w:eastAsia="仿宋_GB2312" w:hAnsi="Times New Roman" w:cs="Times New Roman"/>
          <w:color w:val="262626" w:themeColor="text1" w:themeTint="D9"/>
          <w:sz w:val="32"/>
          <w:szCs w:val="32"/>
        </w:rPr>
        <w:t>辆。</w:t>
      </w:r>
    </w:p>
    <w:p w:rsidR="00EC5961" w:rsidRPr="00E310A5" w:rsidRDefault="00A87E78" w:rsidP="00EC5961">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（四）公务接待费支出</w:t>
      </w:r>
      <w:r w:rsidR="006E24D9" w:rsidRPr="00E310A5">
        <w:rPr>
          <w:rFonts w:ascii="Times New Roman" w:eastAsia="黑体" w:hAnsi="Times New Roman" w:cs="Times New Roman"/>
          <w:b/>
          <w:color w:val="262626" w:themeColor="text1" w:themeTint="D9"/>
          <w:sz w:val="32"/>
          <w:szCs w:val="32"/>
        </w:rPr>
        <w:t>0.71</w:t>
      </w:r>
      <w:r w:rsidRPr="00E310A5">
        <w:rPr>
          <w:rFonts w:ascii="Times New Roman" w:eastAsia="仿宋_GB2312" w:hAnsi="Times New Roman" w:cs="Times New Roman"/>
          <w:color w:val="262626" w:themeColor="text1" w:themeTint="D9"/>
          <w:sz w:val="32"/>
          <w:szCs w:val="32"/>
        </w:rPr>
        <w:t>万元，全年共接待</w:t>
      </w:r>
      <w:r w:rsidR="00D226B4" w:rsidRPr="00E310A5">
        <w:rPr>
          <w:rFonts w:ascii="Times New Roman" w:eastAsia="黑体" w:hAnsi="Times New Roman" w:cs="Times New Roman"/>
          <w:b/>
          <w:color w:val="262626" w:themeColor="text1" w:themeTint="D9"/>
          <w:sz w:val="32"/>
          <w:szCs w:val="32"/>
        </w:rPr>
        <w:t>7</w:t>
      </w:r>
      <w:r w:rsidRPr="00E310A5">
        <w:rPr>
          <w:rFonts w:ascii="Times New Roman" w:eastAsia="仿宋_GB2312" w:hAnsi="Times New Roman" w:cs="Times New Roman"/>
          <w:color w:val="262626" w:themeColor="text1" w:themeTint="D9"/>
          <w:sz w:val="32"/>
          <w:szCs w:val="32"/>
        </w:rPr>
        <w:t>批次、</w:t>
      </w:r>
      <w:r w:rsidR="00D226B4" w:rsidRPr="00E310A5">
        <w:rPr>
          <w:rFonts w:ascii="Times New Roman" w:eastAsia="黑体" w:hAnsi="Times New Roman" w:cs="Times New Roman"/>
          <w:b/>
          <w:color w:val="262626" w:themeColor="text1" w:themeTint="D9"/>
          <w:sz w:val="32"/>
          <w:szCs w:val="32"/>
        </w:rPr>
        <w:t>47</w:t>
      </w:r>
      <w:r w:rsidRPr="00E310A5">
        <w:rPr>
          <w:rFonts w:ascii="Times New Roman" w:eastAsia="仿宋_GB2312" w:hAnsi="Times New Roman" w:cs="Times New Roman"/>
          <w:color w:val="262626" w:themeColor="text1" w:themeTint="D9"/>
          <w:sz w:val="32"/>
          <w:szCs w:val="32"/>
        </w:rPr>
        <w:t>人次，比</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年预算减少</w:t>
      </w:r>
      <w:r w:rsidR="008D389A" w:rsidRPr="00E310A5">
        <w:rPr>
          <w:rFonts w:ascii="Times New Roman" w:eastAsia="黑体" w:hAnsi="Times New Roman" w:cs="Times New Roman"/>
          <w:b/>
          <w:color w:val="262626" w:themeColor="text1" w:themeTint="D9"/>
          <w:sz w:val="32"/>
          <w:szCs w:val="32"/>
        </w:rPr>
        <w:t>12.79</w:t>
      </w:r>
      <w:r w:rsidRPr="00E310A5">
        <w:rPr>
          <w:rFonts w:ascii="Times New Roman" w:eastAsia="仿宋_GB2312" w:hAnsi="Times New Roman" w:cs="Times New Roman"/>
          <w:color w:val="262626" w:themeColor="text1" w:themeTint="D9"/>
          <w:sz w:val="32"/>
          <w:szCs w:val="32"/>
        </w:rPr>
        <w:t>万元，降低</w:t>
      </w:r>
      <w:r w:rsidR="008D389A" w:rsidRPr="00E310A5">
        <w:rPr>
          <w:rFonts w:ascii="Times New Roman" w:eastAsia="仿宋_GB2312" w:hAnsi="Times New Roman" w:cs="Times New Roman"/>
          <w:color w:val="262626" w:themeColor="text1" w:themeTint="D9"/>
          <w:sz w:val="32"/>
          <w:szCs w:val="32"/>
        </w:rPr>
        <w:t>94.7</w:t>
      </w:r>
      <w:r w:rsidRPr="00E310A5">
        <w:rPr>
          <w:rFonts w:ascii="Times New Roman" w:eastAsia="仿宋_GB2312" w:hAnsi="Times New Roman" w:cs="Times New Roman"/>
          <w:color w:val="262626" w:themeColor="text1" w:themeTint="D9"/>
          <w:sz w:val="32"/>
          <w:szCs w:val="32"/>
        </w:rPr>
        <w:t>%</w:t>
      </w:r>
      <w:r w:rsidRPr="00E310A5">
        <w:rPr>
          <w:rFonts w:ascii="Times New Roman" w:eastAsia="仿宋_GB2312" w:hAnsi="Times New Roman" w:cs="Times New Roman"/>
          <w:color w:val="262626" w:themeColor="text1" w:themeTint="D9"/>
          <w:sz w:val="32"/>
          <w:szCs w:val="32"/>
        </w:rPr>
        <w:t>。</w:t>
      </w:r>
    </w:p>
    <w:p w:rsidR="00A87E78" w:rsidRPr="00E310A5" w:rsidRDefault="00A87E78" w:rsidP="00EC5961">
      <w:pPr>
        <w:ind w:firstLineChars="200" w:firstLine="640"/>
        <w:rPr>
          <w:rFonts w:ascii="Times New Roman" w:eastAsia="仿宋_GB2312" w:hAnsi="Times New Roman" w:cs="Times New Roman"/>
          <w:color w:val="262626" w:themeColor="text1" w:themeTint="D9"/>
          <w:sz w:val="32"/>
          <w:szCs w:val="32"/>
        </w:rPr>
      </w:pPr>
    </w:p>
    <w:p w:rsidR="00A87E78" w:rsidRPr="00E310A5" w:rsidRDefault="00A87E78" w:rsidP="00EC5961">
      <w:pPr>
        <w:ind w:firstLineChars="200" w:firstLine="640"/>
        <w:rPr>
          <w:rFonts w:ascii="Times New Roman" w:eastAsia="仿宋_GB2312" w:hAnsi="Times New Roman" w:cs="Times New Roman"/>
          <w:sz w:val="32"/>
          <w:szCs w:val="32"/>
        </w:rPr>
      </w:pPr>
    </w:p>
    <w:p w:rsidR="00A87E78" w:rsidRPr="00E310A5" w:rsidRDefault="00A87E78" w:rsidP="00EC5961">
      <w:pPr>
        <w:ind w:firstLineChars="200" w:firstLine="640"/>
        <w:rPr>
          <w:rFonts w:ascii="Times New Roman" w:eastAsia="仿宋_GB2312" w:hAnsi="Times New Roman" w:cs="Times New Roman"/>
          <w:sz w:val="32"/>
          <w:szCs w:val="32"/>
        </w:rPr>
      </w:pPr>
    </w:p>
    <w:p w:rsidR="00A87E78" w:rsidRPr="00E310A5" w:rsidRDefault="00A87E78" w:rsidP="00EC5961">
      <w:pPr>
        <w:ind w:firstLineChars="200" w:firstLine="640"/>
        <w:rPr>
          <w:rFonts w:ascii="Times New Roman" w:eastAsia="仿宋_GB2312" w:hAnsi="Times New Roman" w:cs="Times New Roman"/>
          <w:sz w:val="32"/>
          <w:szCs w:val="32"/>
        </w:rPr>
      </w:pPr>
    </w:p>
    <w:sectPr w:rsidR="00A87E78" w:rsidRPr="00E310A5" w:rsidSect="0088021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85" w:rsidRDefault="00EE1285" w:rsidP="00A87E78">
      <w:r>
        <w:separator/>
      </w:r>
    </w:p>
  </w:endnote>
  <w:endnote w:type="continuationSeparator" w:id="0">
    <w:p w:rsidR="00EE1285" w:rsidRDefault="00EE1285" w:rsidP="00A87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12462"/>
      <w:docPartObj>
        <w:docPartGallery w:val="Page Numbers (Bottom of Page)"/>
        <w:docPartUnique/>
      </w:docPartObj>
    </w:sdtPr>
    <w:sdtContent>
      <w:p w:rsidR="00A87E78" w:rsidRDefault="005A39EB">
        <w:pPr>
          <w:pStyle w:val="a4"/>
          <w:jc w:val="center"/>
        </w:pPr>
        <w:r>
          <w:fldChar w:fldCharType="begin"/>
        </w:r>
        <w:r w:rsidR="00A87E78">
          <w:instrText>PAGE   \* MERGEFORMAT</w:instrText>
        </w:r>
        <w:r>
          <w:fldChar w:fldCharType="separate"/>
        </w:r>
        <w:r w:rsidR="00BD64DF" w:rsidRPr="00BD64DF">
          <w:rPr>
            <w:noProof/>
            <w:lang w:val="zh-CN"/>
          </w:rPr>
          <w:t>4</w:t>
        </w:r>
        <w:r>
          <w:fldChar w:fldCharType="end"/>
        </w:r>
      </w:p>
    </w:sdtContent>
  </w:sdt>
  <w:p w:rsidR="00A87E78" w:rsidRDefault="00A87E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85" w:rsidRDefault="00EE1285" w:rsidP="00A87E78">
      <w:r>
        <w:separator/>
      </w:r>
    </w:p>
  </w:footnote>
  <w:footnote w:type="continuationSeparator" w:id="0">
    <w:p w:rsidR="00EE1285" w:rsidRDefault="00EE1285" w:rsidP="00A87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961"/>
    <w:rsid w:val="00072A44"/>
    <w:rsid w:val="000813A2"/>
    <w:rsid w:val="000B2867"/>
    <w:rsid w:val="000C39B2"/>
    <w:rsid w:val="00134631"/>
    <w:rsid w:val="001519AD"/>
    <w:rsid w:val="00180F1F"/>
    <w:rsid w:val="00203959"/>
    <w:rsid w:val="00203FBC"/>
    <w:rsid w:val="00216625"/>
    <w:rsid w:val="002300D7"/>
    <w:rsid w:val="002932B5"/>
    <w:rsid w:val="002B5CF3"/>
    <w:rsid w:val="002E2B10"/>
    <w:rsid w:val="002E7906"/>
    <w:rsid w:val="002F04EF"/>
    <w:rsid w:val="00326CB1"/>
    <w:rsid w:val="003402E4"/>
    <w:rsid w:val="00347B34"/>
    <w:rsid w:val="003809AC"/>
    <w:rsid w:val="00381456"/>
    <w:rsid w:val="0041378F"/>
    <w:rsid w:val="00451C48"/>
    <w:rsid w:val="00470393"/>
    <w:rsid w:val="004A2B86"/>
    <w:rsid w:val="004A6077"/>
    <w:rsid w:val="004E37FD"/>
    <w:rsid w:val="004E6024"/>
    <w:rsid w:val="00521DC7"/>
    <w:rsid w:val="00550794"/>
    <w:rsid w:val="005732E7"/>
    <w:rsid w:val="00592CE7"/>
    <w:rsid w:val="005A39EB"/>
    <w:rsid w:val="005F1CEA"/>
    <w:rsid w:val="0061151A"/>
    <w:rsid w:val="00620946"/>
    <w:rsid w:val="0063304A"/>
    <w:rsid w:val="00647005"/>
    <w:rsid w:val="00671B7E"/>
    <w:rsid w:val="00681FB1"/>
    <w:rsid w:val="006B03BF"/>
    <w:rsid w:val="006E24D9"/>
    <w:rsid w:val="0070274F"/>
    <w:rsid w:val="00702D73"/>
    <w:rsid w:val="00712D1F"/>
    <w:rsid w:val="00744C8D"/>
    <w:rsid w:val="00760F9B"/>
    <w:rsid w:val="007764C0"/>
    <w:rsid w:val="007822D5"/>
    <w:rsid w:val="007937E4"/>
    <w:rsid w:val="008206E1"/>
    <w:rsid w:val="008408EC"/>
    <w:rsid w:val="00880213"/>
    <w:rsid w:val="00883E5C"/>
    <w:rsid w:val="008903A2"/>
    <w:rsid w:val="008B4575"/>
    <w:rsid w:val="008D1C3E"/>
    <w:rsid w:val="008D389A"/>
    <w:rsid w:val="00902728"/>
    <w:rsid w:val="00911A0A"/>
    <w:rsid w:val="00912A52"/>
    <w:rsid w:val="00915EA7"/>
    <w:rsid w:val="009603EB"/>
    <w:rsid w:val="009A1C21"/>
    <w:rsid w:val="009A59B5"/>
    <w:rsid w:val="009B5280"/>
    <w:rsid w:val="009C339A"/>
    <w:rsid w:val="009F42C7"/>
    <w:rsid w:val="00A43237"/>
    <w:rsid w:val="00A7207A"/>
    <w:rsid w:val="00A762F0"/>
    <w:rsid w:val="00A87E78"/>
    <w:rsid w:val="00AC1771"/>
    <w:rsid w:val="00B071F5"/>
    <w:rsid w:val="00B113F5"/>
    <w:rsid w:val="00B15430"/>
    <w:rsid w:val="00B329A5"/>
    <w:rsid w:val="00B5474F"/>
    <w:rsid w:val="00B73A19"/>
    <w:rsid w:val="00BD64DF"/>
    <w:rsid w:val="00C57F59"/>
    <w:rsid w:val="00C62410"/>
    <w:rsid w:val="00CB4863"/>
    <w:rsid w:val="00CC3584"/>
    <w:rsid w:val="00D13968"/>
    <w:rsid w:val="00D226B4"/>
    <w:rsid w:val="00D25B82"/>
    <w:rsid w:val="00DA7C17"/>
    <w:rsid w:val="00DB55CE"/>
    <w:rsid w:val="00DC0FD3"/>
    <w:rsid w:val="00DF52EA"/>
    <w:rsid w:val="00E13867"/>
    <w:rsid w:val="00E310A5"/>
    <w:rsid w:val="00E36EDD"/>
    <w:rsid w:val="00E37BF6"/>
    <w:rsid w:val="00E60A59"/>
    <w:rsid w:val="00E66D5E"/>
    <w:rsid w:val="00E72ED6"/>
    <w:rsid w:val="00E761E7"/>
    <w:rsid w:val="00E77156"/>
    <w:rsid w:val="00E83E39"/>
    <w:rsid w:val="00EA131A"/>
    <w:rsid w:val="00EB2D63"/>
    <w:rsid w:val="00EC5961"/>
    <w:rsid w:val="00EE1285"/>
    <w:rsid w:val="00F22D1F"/>
    <w:rsid w:val="00F26565"/>
    <w:rsid w:val="00F330B3"/>
    <w:rsid w:val="00F42523"/>
    <w:rsid w:val="00F76B49"/>
    <w:rsid w:val="00F83552"/>
    <w:rsid w:val="00F92E21"/>
    <w:rsid w:val="00F96D6D"/>
    <w:rsid w:val="00FA06F8"/>
    <w:rsid w:val="00FA7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殷炀榜</dc:creator>
  <cp:lastModifiedBy>Chinese User</cp:lastModifiedBy>
  <cp:revision>2</cp:revision>
  <cp:lastPrinted>2015-10-29T02:26:00Z</cp:lastPrinted>
  <dcterms:created xsi:type="dcterms:W3CDTF">2015-10-30T01:15:00Z</dcterms:created>
  <dcterms:modified xsi:type="dcterms:W3CDTF">2015-10-30T01:15:00Z</dcterms:modified>
</cp:coreProperties>
</file>